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C1E6AC" w14:textId="667BA9EA" w:rsidR="00E25A8C" w:rsidRPr="00925091" w:rsidRDefault="00E25A8C" w:rsidP="006E5135">
      <w:pPr>
        <w:pStyle w:val="Heading1"/>
        <w:numPr>
          <w:ilvl w:val="0"/>
          <w:numId w:val="0"/>
        </w:numPr>
        <w:spacing w:line="269" w:lineRule="auto"/>
        <w:rPr>
          <w:rFonts w:asciiTheme="majorHAnsi" w:hAnsiTheme="majorHAnsi" w:cstheme="majorHAnsi"/>
          <w:b/>
          <w:lang w:val="en-GB"/>
        </w:rPr>
      </w:pPr>
      <w:bookmarkStart w:id="0" w:name="_Ref517385184"/>
      <w:bookmarkStart w:id="1" w:name="_Toc52987328"/>
      <w:bookmarkStart w:id="2" w:name="_GoBack"/>
      <w:bookmarkEnd w:id="2"/>
      <w:r w:rsidRPr="00925091">
        <w:rPr>
          <w:rFonts w:asciiTheme="majorHAnsi" w:hAnsiTheme="majorHAnsi" w:cstheme="majorHAnsi"/>
          <w:b/>
          <w:lang w:val="en-GB"/>
        </w:rPr>
        <w:t>Sample design</w:t>
      </w:r>
      <w:bookmarkEnd w:id="0"/>
      <w:bookmarkEnd w:id="1"/>
    </w:p>
    <w:p w14:paraId="331EDCF0" w14:textId="3E8941C4" w:rsidR="008A55A7" w:rsidRPr="00925091" w:rsidRDefault="008A55A7"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 xml:space="preserve">The major features of the sample design are described </w:t>
      </w:r>
      <w:r w:rsidR="00C73E18">
        <w:rPr>
          <w:rFonts w:asciiTheme="majorHAnsi" w:hAnsiTheme="majorHAnsi" w:cstheme="majorHAnsi"/>
          <w:snapToGrid w:val="0"/>
          <w:szCs w:val="22"/>
          <w:lang w:val="en-GB"/>
        </w:rPr>
        <w:t>here</w:t>
      </w:r>
      <w:r w:rsidRPr="00925091">
        <w:rPr>
          <w:rFonts w:asciiTheme="majorHAnsi" w:hAnsiTheme="majorHAnsi" w:cstheme="majorHAnsi"/>
          <w:snapToGrid w:val="0"/>
          <w:szCs w:val="22"/>
          <w:lang w:val="en-GB"/>
        </w:rPr>
        <w:t>. Sample design features include defining the sampling frame, target sample size, sample allocation, listing in sample clusters, choice of domains, sampling stages, stratification, and the calculation of sample weights.</w:t>
      </w:r>
    </w:p>
    <w:p w14:paraId="7D6061F6" w14:textId="77777777" w:rsidR="008A55A7" w:rsidRPr="00925091" w:rsidRDefault="008A55A7" w:rsidP="007B0AEA">
      <w:pPr>
        <w:pStyle w:val="Heading2"/>
        <w:numPr>
          <w:ilvl w:val="0"/>
          <w:numId w:val="0"/>
        </w:numPr>
        <w:spacing w:line="269" w:lineRule="auto"/>
        <w:rPr>
          <w:rStyle w:val="2H"/>
          <w:b w:val="0"/>
          <w:bCs/>
          <w:sz w:val="20"/>
          <w:szCs w:val="16"/>
          <w:lang w:val="en-GB"/>
        </w:rPr>
      </w:pPr>
      <w:bookmarkStart w:id="3" w:name="_Toc52987329"/>
      <w:r w:rsidRPr="00925091">
        <w:rPr>
          <w:rStyle w:val="2H"/>
          <w:b w:val="0"/>
          <w:bCs/>
          <w:sz w:val="20"/>
          <w:szCs w:val="16"/>
          <w:lang w:val="en-GB"/>
        </w:rPr>
        <w:t>Sample Design for the 2019 Serbia MICS Sample</w:t>
      </w:r>
      <w:bookmarkEnd w:id="3"/>
    </w:p>
    <w:p w14:paraId="759B0729" w14:textId="76D9FB9D" w:rsidR="008A55A7" w:rsidRPr="00925091" w:rsidRDefault="008A55A7" w:rsidP="001746D5">
      <w:pPr>
        <w:spacing w:line="269" w:lineRule="auto"/>
        <w:rPr>
          <w:rFonts w:asciiTheme="majorHAnsi" w:hAnsiTheme="majorHAnsi" w:cstheme="majorHAnsi"/>
          <w:szCs w:val="22"/>
          <w:lang w:val="en-GB"/>
        </w:rPr>
      </w:pPr>
      <w:r w:rsidRPr="00925091">
        <w:rPr>
          <w:rFonts w:asciiTheme="majorHAnsi" w:hAnsiTheme="majorHAnsi" w:cstheme="majorHAnsi"/>
          <w:snapToGrid w:val="0"/>
          <w:szCs w:val="22"/>
          <w:lang w:val="en-GB"/>
        </w:rPr>
        <w:t xml:space="preserve">The primary objective of the sample design for the 2019 Serbia MICS was to produce statistically reliable estimates </w:t>
      </w:r>
      <w:r w:rsidR="000A0E37">
        <w:rPr>
          <w:rFonts w:asciiTheme="majorHAnsi" w:hAnsiTheme="majorHAnsi" w:cstheme="majorHAnsi"/>
          <w:snapToGrid w:val="0"/>
          <w:szCs w:val="22"/>
          <w:lang w:val="en-GB"/>
        </w:rPr>
        <w:t>for</w:t>
      </w:r>
      <w:r w:rsidRPr="00925091">
        <w:rPr>
          <w:rFonts w:asciiTheme="majorHAnsi" w:hAnsiTheme="majorHAnsi" w:cstheme="majorHAnsi"/>
          <w:snapToGrid w:val="0"/>
          <w:szCs w:val="22"/>
          <w:lang w:val="en-GB"/>
        </w:rPr>
        <w:t xml:space="preserve"> most indicators, at the national level, for urban and other areas, and for the four regions of the country: Belgrade, Vojvodina, Sumadija and Western Serbia, and Southern and Eastern Serbia. Urban and </w:t>
      </w:r>
      <w:r w:rsidR="000A02EE" w:rsidRPr="00925091">
        <w:rPr>
          <w:rFonts w:asciiTheme="majorHAnsi" w:hAnsiTheme="majorHAnsi" w:cstheme="majorHAnsi"/>
          <w:snapToGrid w:val="0"/>
          <w:szCs w:val="22"/>
          <w:lang w:val="en-GB"/>
        </w:rPr>
        <w:t>other</w:t>
      </w:r>
      <w:r w:rsidR="0030446C" w:rsidRPr="00925091">
        <w:rPr>
          <w:rStyle w:val="FootnoteReference"/>
          <w:rFonts w:asciiTheme="majorHAnsi" w:hAnsiTheme="majorHAnsi" w:cstheme="majorHAnsi"/>
          <w:snapToGrid w:val="0"/>
          <w:szCs w:val="22"/>
          <w:lang w:val="en-GB"/>
        </w:rPr>
        <w:footnoteReference w:id="2"/>
      </w:r>
      <w:r w:rsidR="000A02EE" w:rsidRPr="00925091">
        <w:rPr>
          <w:rFonts w:asciiTheme="majorHAnsi" w:hAnsiTheme="majorHAnsi" w:cstheme="majorHAnsi"/>
          <w:snapToGrid w:val="0"/>
          <w:szCs w:val="22"/>
          <w:lang w:val="en-GB"/>
        </w:rPr>
        <w:t xml:space="preserve"> </w:t>
      </w:r>
      <w:r w:rsidRPr="00925091">
        <w:rPr>
          <w:rFonts w:asciiTheme="majorHAnsi" w:hAnsiTheme="majorHAnsi" w:cstheme="majorHAnsi"/>
          <w:szCs w:val="22"/>
          <w:lang w:val="en-GB"/>
        </w:rPr>
        <w:t>areas in each of the four regions were defined as the sampling strata. In designing the sample for the 2019 Serbia MICS, it was useful to review the sample design and results of the MICS conducted in 2014, documented in the Final Report of that survey.</w:t>
      </w:r>
    </w:p>
    <w:p w14:paraId="2001BA9A" w14:textId="5F66B934" w:rsidR="008A55A7" w:rsidRPr="00925091" w:rsidRDefault="008A55A7" w:rsidP="001746D5">
      <w:pPr>
        <w:spacing w:line="269" w:lineRule="auto"/>
        <w:rPr>
          <w:rFonts w:asciiTheme="majorHAnsi" w:hAnsiTheme="majorHAnsi" w:cstheme="majorHAnsi"/>
          <w:snapToGrid w:val="0"/>
          <w:szCs w:val="22"/>
          <w:lang w:val="en-GB"/>
        </w:rPr>
      </w:pPr>
      <w:r w:rsidRPr="00925091">
        <w:rPr>
          <w:rFonts w:asciiTheme="majorHAnsi" w:hAnsiTheme="majorHAnsi" w:cstheme="majorHAnsi"/>
          <w:szCs w:val="22"/>
          <w:lang w:val="en-GB"/>
        </w:rPr>
        <w:t xml:space="preserve">A multi-stage, stratified cluster sampling approach was used for the selection of the survey sample. The sampling frame was based on the 2011 Serbia Census of Population and Housing. The primary sampling units (PSUs) selected at the first stage were the enumeration </w:t>
      </w:r>
      <w:r w:rsidRPr="00925091">
        <w:rPr>
          <w:rFonts w:asciiTheme="majorHAnsi" w:hAnsiTheme="majorHAnsi" w:cstheme="majorHAnsi"/>
          <w:snapToGrid w:val="0"/>
          <w:szCs w:val="22"/>
          <w:lang w:val="en-GB"/>
        </w:rPr>
        <w:t>areas (EAs) defined for the census enumeration. A listing of households was conducted in each sample EA and a sample of households was selected, after the further stratification (2nd stage stratification), which was done into two strata: households with children under five years of age and households without children under five.</w:t>
      </w:r>
    </w:p>
    <w:p w14:paraId="1FEDF16A" w14:textId="77777777" w:rsidR="00E25A8C" w:rsidRPr="00925091" w:rsidRDefault="00E25A8C" w:rsidP="00F00395">
      <w:pPr>
        <w:pStyle w:val="Heading2"/>
        <w:numPr>
          <w:ilvl w:val="0"/>
          <w:numId w:val="13"/>
        </w:numPr>
        <w:spacing w:before="0" w:line="269" w:lineRule="auto"/>
        <w:ind w:left="360"/>
        <w:rPr>
          <w:rStyle w:val="2H"/>
          <w:rFonts w:asciiTheme="majorHAnsi" w:hAnsiTheme="majorHAnsi" w:cstheme="majorHAnsi"/>
          <w:b w:val="0"/>
          <w:bCs/>
          <w:iCs/>
          <w:sz w:val="20"/>
          <w:szCs w:val="18"/>
          <w:lang w:val="en-GB"/>
        </w:rPr>
      </w:pPr>
      <w:bookmarkStart w:id="4" w:name="_Toc45462979"/>
      <w:bookmarkStart w:id="5" w:name="_Toc45463517"/>
      <w:bookmarkStart w:id="6" w:name="_Toc46777517"/>
      <w:bookmarkStart w:id="7" w:name="_Toc47016606"/>
      <w:bookmarkStart w:id="8" w:name="_Toc52987330"/>
      <w:bookmarkEnd w:id="4"/>
      <w:bookmarkEnd w:id="5"/>
      <w:bookmarkEnd w:id="6"/>
      <w:bookmarkEnd w:id="7"/>
      <w:r w:rsidRPr="00925091">
        <w:rPr>
          <w:rStyle w:val="2H"/>
          <w:rFonts w:asciiTheme="majorHAnsi" w:hAnsiTheme="majorHAnsi" w:cstheme="majorHAnsi"/>
          <w:b w:val="0"/>
          <w:bCs/>
          <w:sz w:val="20"/>
          <w:szCs w:val="18"/>
          <w:lang w:val="en-GB"/>
        </w:rPr>
        <w:t>Sample size and sample allocation</w:t>
      </w:r>
      <w:bookmarkEnd w:id="8"/>
    </w:p>
    <w:p w14:paraId="06532FF3" w14:textId="6739B49A" w:rsidR="00E25A8C" w:rsidRPr="00925091" w:rsidRDefault="00E25A8C"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 xml:space="preserve">Since </w:t>
      </w:r>
      <w:r w:rsidRPr="00925091">
        <w:rPr>
          <w:rFonts w:asciiTheme="majorHAnsi" w:hAnsiTheme="majorHAnsi" w:cstheme="majorHAnsi"/>
          <w:szCs w:val="22"/>
          <w:lang w:val="en-GB"/>
        </w:rPr>
        <w:t>the</w:t>
      </w:r>
      <w:r w:rsidRPr="00925091">
        <w:rPr>
          <w:rFonts w:asciiTheme="majorHAnsi" w:hAnsiTheme="majorHAnsi" w:cstheme="majorHAnsi"/>
          <w:snapToGrid w:val="0"/>
          <w:szCs w:val="22"/>
          <w:lang w:val="en-GB"/>
        </w:rPr>
        <w:t xml:space="preserve"> overall sample size for the </w:t>
      </w:r>
      <w:r w:rsidR="007B0AEA" w:rsidRPr="00925091">
        <w:rPr>
          <w:rFonts w:asciiTheme="majorHAnsi" w:hAnsiTheme="majorHAnsi" w:cstheme="majorHAnsi"/>
          <w:snapToGrid w:val="0"/>
          <w:szCs w:val="22"/>
          <w:lang w:val="en-GB"/>
        </w:rPr>
        <w:t xml:space="preserve">2019 Serbia MICS </w:t>
      </w:r>
      <w:r w:rsidRPr="00925091">
        <w:rPr>
          <w:rFonts w:asciiTheme="majorHAnsi" w:hAnsiTheme="majorHAnsi" w:cstheme="majorHAnsi"/>
          <w:snapToGrid w:val="0"/>
          <w:szCs w:val="22"/>
          <w:lang w:val="en-GB"/>
        </w:rPr>
        <w:t xml:space="preserve">partly depends on the geographic domains of analysis that are defined for the survey tables, the distribution of EAs and households in </w:t>
      </w:r>
      <w:r w:rsidR="007B0AEA" w:rsidRPr="00925091">
        <w:rPr>
          <w:rFonts w:asciiTheme="majorHAnsi" w:hAnsiTheme="majorHAnsi" w:cstheme="majorHAnsi"/>
          <w:snapToGrid w:val="0"/>
          <w:szCs w:val="22"/>
          <w:lang w:val="en-GB"/>
        </w:rPr>
        <w:t>Serbia</w:t>
      </w:r>
      <w:r w:rsidRPr="00925091">
        <w:rPr>
          <w:rFonts w:asciiTheme="majorHAnsi" w:hAnsiTheme="majorHAnsi" w:cstheme="majorHAnsi"/>
          <w:snapToGrid w:val="0"/>
          <w:szCs w:val="22"/>
          <w:lang w:val="en-GB"/>
        </w:rPr>
        <w:t xml:space="preserve"> from the </w:t>
      </w:r>
      <w:r w:rsidR="007B0AEA" w:rsidRPr="00925091">
        <w:rPr>
          <w:rFonts w:asciiTheme="majorHAnsi" w:hAnsiTheme="majorHAnsi" w:cstheme="majorHAnsi"/>
          <w:snapToGrid w:val="0"/>
          <w:szCs w:val="22"/>
          <w:lang w:val="en-GB"/>
        </w:rPr>
        <w:t xml:space="preserve">2011 </w:t>
      </w:r>
      <w:r w:rsidRPr="00925091">
        <w:rPr>
          <w:rFonts w:asciiTheme="majorHAnsi" w:hAnsiTheme="majorHAnsi" w:cstheme="majorHAnsi"/>
          <w:snapToGrid w:val="0"/>
          <w:szCs w:val="22"/>
          <w:lang w:val="en-GB"/>
        </w:rPr>
        <w:t xml:space="preserve">Census sampling frame was first examined by region, urban and </w:t>
      </w:r>
      <w:r w:rsidR="007B0AEA" w:rsidRPr="00925091">
        <w:rPr>
          <w:rFonts w:asciiTheme="majorHAnsi" w:hAnsiTheme="majorHAnsi" w:cstheme="majorHAnsi"/>
          <w:snapToGrid w:val="0"/>
          <w:szCs w:val="22"/>
          <w:lang w:val="en-GB"/>
        </w:rPr>
        <w:t xml:space="preserve">other </w:t>
      </w:r>
      <w:r w:rsidRPr="00925091">
        <w:rPr>
          <w:rFonts w:asciiTheme="majorHAnsi" w:hAnsiTheme="majorHAnsi" w:cstheme="majorHAnsi"/>
          <w:snapToGrid w:val="0"/>
          <w:szCs w:val="22"/>
          <w:lang w:val="en-GB"/>
        </w:rPr>
        <w:t>strata, shown in Table SD.1.</w:t>
      </w:r>
    </w:p>
    <w:tbl>
      <w:tblPr>
        <w:tblW w:w="0" w:type="auto"/>
        <w:jc w:val="center"/>
        <w:tblLook w:val="01E0" w:firstRow="1" w:lastRow="1" w:firstColumn="1" w:lastColumn="1" w:noHBand="0" w:noVBand="0"/>
      </w:tblPr>
      <w:tblGrid>
        <w:gridCol w:w="2487"/>
        <w:gridCol w:w="717"/>
        <w:gridCol w:w="717"/>
        <w:gridCol w:w="717"/>
        <w:gridCol w:w="257"/>
        <w:gridCol w:w="1035"/>
        <w:gridCol w:w="1035"/>
        <w:gridCol w:w="887"/>
      </w:tblGrid>
      <w:tr w:rsidR="007B0AEA" w:rsidRPr="00925091" w14:paraId="25E6E179" w14:textId="77777777" w:rsidTr="007B0AEA">
        <w:trPr>
          <w:cantSplit/>
          <w:trHeight w:val="288"/>
          <w:jc w:val="center"/>
        </w:trPr>
        <w:tc>
          <w:tcPr>
            <w:tcW w:w="0" w:type="auto"/>
            <w:gridSpan w:val="8"/>
            <w:tcBorders>
              <w:top w:val="single" w:sz="4" w:space="0" w:color="auto"/>
              <w:left w:val="single" w:sz="4" w:space="0" w:color="auto"/>
              <w:right w:val="single" w:sz="4" w:space="0" w:color="auto"/>
            </w:tcBorders>
            <w:shd w:val="clear" w:color="auto" w:fill="000000" w:themeFill="text1"/>
            <w:vAlign w:val="center"/>
          </w:tcPr>
          <w:p w14:paraId="2AF8CD40" w14:textId="774B8C38" w:rsidR="007B0AEA" w:rsidRPr="00925091" w:rsidRDefault="007B0AEA" w:rsidP="007B0AEA">
            <w:pPr>
              <w:pStyle w:val="Heading3"/>
              <w:rPr>
                <w:snapToGrid w:val="0"/>
              </w:rPr>
            </w:pPr>
            <w:bookmarkStart w:id="9" w:name="_Toc52987331"/>
            <w:r w:rsidRPr="00925091">
              <w:rPr>
                <w:snapToGrid w:val="0"/>
              </w:rPr>
              <w:t>Table SD.1: Distribution of enumeration areas and households in the sampling frame</w:t>
            </w:r>
            <w:bookmarkEnd w:id="9"/>
          </w:p>
        </w:tc>
      </w:tr>
      <w:tr w:rsidR="007B0AEA" w:rsidRPr="00925091" w14:paraId="237CC282" w14:textId="77777777" w:rsidTr="007B0AEA">
        <w:trPr>
          <w:cantSplit/>
          <w:trHeight w:val="238"/>
          <w:jc w:val="center"/>
        </w:trPr>
        <w:tc>
          <w:tcPr>
            <w:tcW w:w="0" w:type="auto"/>
            <w:gridSpan w:val="8"/>
            <w:tcBorders>
              <w:top w:val="single" w:sz="4" w:space="0" w:color="auto"/>
              <w:left w:val="single" w:sz="4" w:space="0" w:color="auto"/>
              <w:right w:val="single" w:sz="4" w:space="0" w:color="auto"/>
            </w:tcBorders>
            <w:shd w:val="clear" w:color="auto" w:fill="auto"/>
            <w:vAlign w:val="center"/>
          </w:tcPr>
          <w:p w14:paraId="2564B4E7" w14:textId="77777777" w:rsidR="007B0AEA" w:rsidRPr="00925091" w:rsidRDefault="007B0AEA" w:rsidP="007B0AEA">
            <w:pPr>
              <w:spacing w:before="0" w:after="0" w:line="269" w:lineRule="auto"/>
              <w:rPr>
                <w:rFonts w:asciiTheme="majorHAnsi" w:hAnsiTheme="majorHAnsi" w:cstheme="majorHAnsi"/>
                <w:snapToGrid w:val="0"/>
                <w:sz w:val="18"/>
                <w:szCs w:val="18"/>
                <w:lang w:val="en-GB"/>
              </w:rPr>
            </w:pPr>
            <w:r w:rsidRPr="00925091">
              <w:rPr>
                <w:rFonts w:asciiTheme="majorHAnsi" w:hAnsiTheme="majorHAnsi" w:cstheme="majorHAnsi"/>
                <w:snapToGrid w:val="0"/>
                <w:sz w:val="18"/>
                <w:szCs w:val="18"/>
                <w:lang w:val="en-GB"/>
              </w:rPr>
              <w:t>Distribution of EAs and households, by region, urban and other strata, Census 2011</w:t>
            </w:r>
          </w:p>
        </w:tc>
      </w:tr>
      <w:tr w:rsidR="007B0AEA" w:rsidRPr="00925091" w14:paraId="3A96AC15" w14:textId="77777777" w:rsidTr="007B0AEA">
        <w:trPr>
          <w:cantSplit/>
          <w:trHeight w:val="238"/>
          <w:jc w:val="center"/>
        </w:trPr>
        <w:tc>
          <w:tcPr>
            <w:tcW w:w="0" w:type="auto"/>
            <w:tcBorders>
              <w:top w:val="single" w:sz="4" w:space="0" w:color="auto"/>
              <w:left w:val="single" w:sz="4" w:space="0" w:color="auto"/>
            </w:tcBorders>
            <w:vAlign w:val="bottom"/>
          </w:tcPr>
          <w:p w14:paraId="043EBEBC"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gridSpan w:val="3"/>
            <w:tcBorders>
              <w:top w:val="single" w:sz="4" w:space="0" w:color="auto"/>
              <w:bottom w:val="single" w:sz="4" w:space="0" w:color="auto"/>
            </w:tcBorders>
            <w:vAlign w:val="bottom"/>
          </w:tcPr>
          <w:p w14:paraId="7627ED0A" w14:textId="77777777" w:rsidR="007B0AEA" w:rsidRPr="00925091" w:rsidRDefault="007B0AEA" w:rsidP="007B0AEA">
            <w:pPr>
              <w:spacing w:before="0" w:after="0" w:line="269" w:lineRule="auto"/>
              <w:jc w:val="center"/>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Number of EAs</w:t>
            </w:r>
          </w:p>
        </w:tc>
        <w:tc>
          <w:tcPr>
            <w:tcW w:w="0" w:type="auto"/>
            <w:tcBorders>
              <w:top w:val="single" w:sz="4" w:space="0" w:color="auto"/>
            </w:tcBorders>
            <w:vAlign w:val="bottom"/>
          </w:tcPr>
          <w:p w14:paraId="74BD820E"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gridSpan w:val="3"/>
            <w:tcBorders>
              <w:top w:val="single" w:sz="4" w:space="0" w:color="auto"/>
              <w:bottom w:val="single" w:sz="4" w:space="0" w:color="auto"/>
              <w:right w:val="single" w:sz="4" w:space="0" w:color="auto"/>
            </w:tcBorders>
            <w:vAlign w:val="bottom"/>
          </w:tcPr>
          <w:p w14:paraId="253342CE" w14:textId="77777777" w:rsidR="007B0AEA" w:rsidRPr="00925091" w:rsidRDefault="007B0AEA" w:rsidP="007B0AEA">
            <w:pPr>
              <w:spacing w:before="0" w:after="0" w:line="269" w:lineRule="auto"/>
              <w:jc w:val="center"/>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Number of Households (2011 Census)</w:t>
            </w:r>
          </w:p>
        </w:tc>
      </w:tr>
      <w:tr w:rsidR="007B0AEA" w:rsidRPr="00925091" w14:paraId="2B0BD8AF" w14:textId="77777777" w:rsidTr="007B0AEA">
        <w:trPr>
          <w:cantSplit/>
          <w:trHeight w:val="238"/>
          <w:jc w:val="center"/>
        </w:trPr>
        <w:tc>
          <w:tcPr>
            <w:tcW w:w="0" w:type="auto"/>
            <w:tcBorders>
              <w:left w:val="single" w:sz="4" w:space="0" w:color="auto"/>
              <w:bottom w:val="single" w:sz="4" w:space="0" w:color="auto"/>
            </w:tcBorders>
            <w:vAlign w:val="bottom"/>
          </w:tcPr>
          <w:p w14:paraId="415473E7"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tcBorders>
              <w:top w:val="single" w:sz="4" w:space="0" w:color="auto"/>
              <w:bottom w:val="single" w:sz="4" w:space="0" w:color="auto"/>
            </w:tcBorders>
            <w:vAlign w:val="bottom"/>
          </w:tcPr>
          <w:p w14:paraId="5FEF2953"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Total</w:t>
            </w:r>
          </w:p>
        </w:tc>
        <w:tc>
          <w:tcPr>
            <w:tcW w:w="0" w:type="auto"/>
            <w:tcBorders>
              <w:top w:val="single" w:sz="4" w:space="0" w:color="auto"/>
              <w:bottom w:val="single" w:sz="4" w:space="0" w:color="auto"/>
            </w:tcBorders>
            <w:vAlign w:val="bottom"/>
          </w:tcPr>
          <w:p w14:paraId="75114F22"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Urban</w:t>
            </w:r>
          </w:p>
        </w:tc>
        <w:tc>
          <w:tcPr>
            <w:tcW w:w="0" w:type="auto"/>
            <w:tcBorders>
              <w:top w:val="single" w:sz="4" w:space="0" w:color="auto"/>
              <w:bottom w:val="single" w:sz="4" w:space="0" w:color="auto"/>
            </w:tcBorders>
            <w:vAlign w:val="bottom"/>
          </w:tcPr>
          <w:p w14:paraId="3415C077"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Other</w:t>
            </w:r>
          </w:p>
        </w:tc>
        <w:tc>
          <w:tcPr>
            <w:tcW w:w="0" w:type="auto"/>
            <w:tcBorders>
              <w:bottom w:val="single" w:sz="4" w:space="0" w:color="auto"/>
            </w:tcBorders>
            <w:vAlign w:val="bottom"/>
          </w:tcPr>
          <w:p w14:paraId="41856B79"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tcBorders>
              <w:top w:val="single" w:sz="4" w:space="0" w:color="auto"/>
              <w:bottom w:val="single" w:sz="4" w:space="0" w:color="auto"/>
            </w:tcBorders>
            <w:vAlign w:val="bottom"/>
          </w:tcPr>
          <w:p w14:paraId="3678DD6B"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Total</w:t>
            </w:r>
          </w:p>
        </w:tc>
        <w:tc>
          <w:tcPr>
            <w:tcW w:w="0" w:type="auto"/>
            <w:tcBorders>
              <w:top w:val="single" w:sz="4" w:space="0" w:color="auto"/>
              <w:bottom w:val="single" w:sz="4" w:space="0" w:color="auto"/>
            </w:tcBorders>
            <w:vAlign w:val="bottom"/>
          </w:tcPr>
          <w:p w14:paraId="55D33141"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Urban</w:t>
            </w:r>
          </w:p>
        </w:tc>
        <w:tc>
          <w:tcPr>
            <w:tcW w:w="0" w:type="auto"/>
            <w:tcBorders>
              <w:top w:val="single" w:sz="4" w:space="0" w:color="auto"/>
              <w:bottom w:val="single" w:sz="4" w:space="0" w:color="auto"/>
              <w:right w:val="single" w:sz="4" w:space="0" w:color="auto"/>
            </w:tcBorders>
            <w:vAlign w:val="bottom"/>
          </w:tcPr>
          <w:p w14:paraId="22156D39"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Other</w:t>
            </w:r>
          </w:p>
        </w:tc>
      </w:tr>
      <w:tr w:rsidR="007B0AEA" w:rsidRPr="00925091" w14:paraId="2E9F87BA" w14:textId="77777777" w:rsidTr="007B0AEA">
        <w:trPr>
          <w:cantSplit/>
          <w:trHeight w:val="238"/>
          <w:jc w:val="center"/>
        </w:trPr>
        <w:tc>
          <w:tcPr>
            <w:tcW w:w="0" w:type="auto"/>
            <w:tcBorders>
              <w:top w:val="single" w:sz="4" w:space="0" w:color="auto"/>
              <w:left w:val="single" w:sz="4" w:space="0" w:color="auto"/>
            </w:tcBorders>
            <w:vAlign w:val="center"/>
          </w:tcPr>
          <w:p w14:paraId="0084752A" w14:textId="77777777" w:rsidR="007B0AEA" w:rsidRPr="00925091" w:rsidRDefault="007B0AEA" w:rsidP="007B0AEA">
            <w:pPr>
              <w:spacing w:before="0" w:after="0" w:line="269" w:lineRule="auto"/>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748F7996"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3F386B93"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7283C3FC"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440295BB"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3236F216"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00F216F4"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tcBorders>
              <w:top w:val="single" w:sz="4" w:space="0" w:color="auto"/>
              <w:right w:val="single" w:sz="4" w:space="0" w:color="auto"/>
            </w:tcBorders>
            <w:vAlign w:val="center"/>
          </w:tcPr>
          <w:p w14:paraId="626743C3"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r>
      <w:tr w:rsidR="007B0AEA" w:rsidRPr="00925091" w14:paraId="4CC54A3C" w14:textId="77777777" w:rsidTr="007B0AEA">
        <w:trPr>
          <w:cantSplit/>
          <w:trHeight w:val="238"/>
          <w:jc w:val="center"/>
        </w:trPr>
        <w:tc>
          <w:tcPr>
            <w:tcW w:w="0" w:type="auto"/>
            <w:tcBorders>
              <w:left w:val="single" w:sz="4" w:space="0" w:color="auto"/>
            </w:tcBorders>
            <w:vAlign w:val="center"/>
          </w:tcPr>
          <w:p w14:paraId="3926C17D" w14:textId="77777777" w:rsidR="007B0AEA" w:rsidRPr="00925091" w:rsidRDefault="007B0AEA" w:rsidP="007B0AEA">
            <w:pPr>
              <w:spacing w:before="0" w:after="0" w:line="269" w:lineRule="auto"/>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Total</w:t>
            </w:r>
          </w:p>
        </w:tc>
        <w:tc>
          <w:tcPr>
            <w:tcW w:w="0" w:type="auto"/>
            <w:vAlign w:val="center"/>
          </w:tcPr>
          <w:p w14:paraId="1ED9A6DD" w14:textId="0BE2A72B" w:rsidR="007B0AEA" w:rsidRPr="00925091" w:rsidRDefault="007B0AEA" w:rsidP="007B0AEA">
            <w:pPr>
              <w:spacing w:before="0" w:after="0" w:line="269" w:lineRule="auto"/>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39,711</w:t>
            </w:r>
          </w:p>
        </w:tc>
        <w:tc>
          <w:tcPr>
            <w:tcW w:w="0" w:type="auto"/>
            <w:vAlign w:val="center"/>
          </w:tcPr>
          <w:p w14:paraId="1EE32695" w14:textId="26EF3D0B" w:rsidR="007B0AEA" w:rsidRPr="00925091" w:rsidRDefault="007B0AEA" w:rsidP="007B0AEA">
            <w:pPr>
              <w:spacing w:before="0" w:after="0" w:line="269" w:lineRule="auto"/>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20,017</w:t>
            </w:r>
          </w:p>
        </w:tc>
        <w:tc>
          <w:tcPr>
            <w:tcW w:w="0" w:type="auto"/>
            <w:vAlign w:val="center"/>
          </w:tcPr>
          <w:p w14:paraId="0B4BE1BF" w14:textId="4305A3F7" w:rsidR="007B0AEA" w:rsidRPr="00925091" w:rsidRDefault="007B0AEA" w:rsidP="007B0AEA">
            <w:pPr>
              <w:spacing w:before="0" w:after="0" w:line="269" w:lineRule="auto"/>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19,694</w:t>
            </w:r>
          </w:p>
        </w:tc>
        <w:tc>
          <w:tcPr>
            <w:tcW w:w="0" w:type="auto"/>
            <w:vAlign w:val="center"/>
          </w:tcPr>
          <w:p w14:paraId="79201807" w14:textId="77777777" w:rsidR="007B0AEA" w:rsidRPr="00925091" w:rsidRDefault="007B0AEA" w:rsidP="007B0AEA">
            <w:pPr>
              <w:spacing w:before="0" w:after="0" w:line="269" w:lineRule="auto"/>
              <w:jc w:val="right"/>
              <w:rPr>
                <w:rFonts w:asciiTheme="majorHAnsi" w:hAnsiTheme="majorHAnsi" w:cstheme="majorHAnsi"/>
                <w:b/>
                <w:sz w:val="18"/>
                <w:szCs w:val="18"/>
                <w:lang w:val="en-GB" w:eastAsia="en-GB"/>
              </w:rPr>
            </w:pPr>
          </w:p>
        </w:tc>
        <w:tc>
          <w:tcPr>
            <w:tcW w:w="0" w:type="auto"/>
            <w:vAlign w:val="center"/>
          </w:tcPr>
          <w:p w14:paraId="5F46B4DC" w14:textId="0F0B9907" w:rsidR="007B0AEA" w:rsidRPr="00925091" w:rsidRDefault="007B0AEA" w:rsidP="007B0AEA">
            <w:pPr>
              <w:spacing w:before="0" w:after="0" w:line="269" w:lineRule="auto"/>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2,487,886</w:t>
            </w:r>
          </w:p>
        </w:tc>
        <w:tc>
          <w:tcPr>
            <w:tcW w:w="0" w:type="auto"/>
            <w:vAlign w:val="center"/>
          </w:tcPr>
          <w:p w14:paraId="3695408D" w14:textId="00E72F21" w:rsidR="007B0AEA" w:rsidRPr="00925091" w:rsidRDefault="007B0AEA" w:rsidP="007B0AEA">
            <w:pPr>
              <w:spacing w:before="0" w:after="0" w:line="269" w:lineRule="auto"/>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1,533,920</w:t>
            </w:r>
          </w:p>
        </w:tc>
        <w:tc>
          <w:tcPr>
            <w:tcW w:w="0" w:type="auto"/>
            <w:tcBorders>
              <w:right w:val="single" w:sz="4" w:space="0" w:color="auto"/>
            </w:tcBorders>
            <w:vAlign w:val="center"/>
          </w:tcPr>
          <w:p w14:paraId="16DA38E4" w14:textId="27F25AE2" w:rsidR="007B0AEA" w:rsidRPr="00925091" w:rsidRDefault="007B0AEA" w:rsidP="007B0AEA">
            <w:pPr>
              <w:spacing w:before="0" w:after="0" w:line="269" w:lineRule="auto"/>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953,966</w:t>
            </w:r>
          </w:p>
        </w:tc>
      </w:tr>
      <w:tr w:rsidR="007B0AEA" w:rsidRPr="00925091" w14:paraId="72E49F38" w14:textId="77777777" w:rsidTr="007B0AEA">
        <w:trPr>
          <w:cantSplit/>
          <w:trHeight w:val="238"/>
          <w:jc w:val="center"/>
        </w:trPr>
        <w:tc>
          <w:tcPr>
            <w:tcW w:w="0" w:type="auto"/>
            <w:tcBorders>
              <w:left w:val="single" w:sz="4" w:space="0" w:color="auto"/>
            </w:tcBorders>
            <w:vAlign w:val="center"/>
          </w:tcPr>
          <w:p w14:paraId="47BDBD9B" w14:textId="77777777" w:rsidR="007B0AEA" w:rsidRPr="00925091" w:rsidRDefault="007B0AEA" w:rsidP="007B0AEA">
            <w:pPr>
              <w:spacing w:before="0" w:after="0" w:line="269" w:lineRule="auto"/>
              <w:rPr>
                <w:rFonts w:asciiTheme="majorHAnsi" w:hAnsiTheme="majorHAnsi" w:cstheme="majorHAnsi"/>
                <w:snapToGrid w:val="0"/>
                <w:sz w:val="18"/>
                <w:szCs w:val="18"/>
                <w:lang w:val="en-GB" w:eastAsia="en-GB"/>
              </w:rPr>
            </w:pPr>
          </w:p>
        </w:tc>
        <w:tc>
          <w:tcPr>
            <w:tcW w:w="0" w:type="auto"/>
            <w:vAlign w:val="center"/>
          </w:tcPr>
          <w:p w14:paraId="551FCD08"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4009910F"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4A0ECE88"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35160854"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294A5EF3"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2529615A"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tcBorders>
              <w:right w:val="single" w:sz="4" w:space="0" w:color="auto"/>
            </w:tcBorders>
            <w:vAlign w:val="center"/>
          </w:tcPr>
          <w:p w14:paraId="3F8881B4"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r w:rsidRPr="00925091">
              <w:rPr>
                <w:rFonts w:asciiTheme="majorHAnsi" w:hAnsiTheme="majorHAnsi" w:cstheme="majorHAnsi"/>
                <w:sz w:val="18"/>
                <w:szCs w:val="18"/>
                <w:lang w:val="en-GB"/>
              </w:rPr>
              <w:t> </w:t>
            </w:r>
          </w:p>
        </w:tc>
      </w:tr>
      <w:tr w:rsidR="007B0AEA" w:rsidRPr="00925091" w14:paraId="715DC67D" w14:textId="77777777" w:rsidTr="007B0AEA">
        <w:trPr>
          <w:cantSplit/>
          <w:trHeight w:val="238"/>
          <w:jc w:val="center"/>
        </w:trPr>
        <w:tc>
          <w:tcPr>
            <w:tcW w:w="0" w:type="auto"/>
            <w:tcBorders>
              <w:left w:val="single" w:sz="4" w:space="0" w:color="auto"/>
            </w:tcBorders>
            <w:vAlign w:val="center"/>
          </w:tcPr>
          <w:p w14:paraId="47BD1676" w14:textId="77777777" w:rsidR="007B0AEA" w:rsidRPr="00925091" w:rsidRDefault="007B0AEA" w:rsidP="007B0AEA">
            <w:pPr>
              <w:spacing w:before="0" w:after="0" w:line="269" w:lineRule="auto"/>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Region</w:t>
            </w:r>
          </w:p>
        </w:tc>
        <w:tc>
          <w:tcPr>
            <w:tcW w:w="0" w:type="auto"/>
            <w:vAlign w:val="center"/>
          </w:tcPr>
          <w:p w14:paraId="3C139518"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564B8698"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2A775CFF"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40376C11"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2939A251"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2314C49C"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tcBorders>
              <w:right w:val="single" w:sz="4" w:space="0" w:color="auto"/>
            </w:tcBorders>
            <w:vAlign w:val="center"/>
          </w:tcPr>
          <w:p w14:paraId="6EC75D93"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r w:rsidRPr="00925091">
              <w:rPr>
                <w:rFonts w:asciiTheme="majorHAnsi" w:hAnsiTheme="majorHAnsi" w:cstheme="majorHAnsi"/>
                <w:sz w:val="18"/>
                <w:szCs w:val="18"/>
                <w:lang w:val="en-GB"/>
              </w:rPr>
              <w:t> </w:t>
            </w:r>
          </w:p>
        </w:tc>
      </w:tr>
      <w:tr w:rsidR="007B0AEA" w:rsidRPr="00925091" w14:paraId="0CDED0EC" w14:textId="77777777" w:rsidTr="007B0AEA">
        <w:trPr>
          <w:cantSplit/>
          <w:trHeight w:val="238"/>
          <w:jc w:val="center"/>
        </w:trPr>
        <w:tc>
          <w:tcPr>
            <w:tcW w:w="0" w:type="auto"/>
            <w:tcBorders>
              <w:left w:val="single" w:sz="4" w:space="0" w:color="auto"/>
            </w:tcBorders>
            <w:vAlign w:val="center"/>
          </w:tcPr>
          <w:p w14:paraId="35948D71" w14:textId="77777777" w:rsidR="007B0AEA" w:rsidRPr="00925091" w:rsidRDefault="007B0AEA" w:rsidP="007B0AEA">
            <w:pPr>
              <w:spacing w:before="0" w:after="0" w:line="269" w:lineRule="auto"/>
              <w:ind w:left="144"/>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Belgrade</w:t>
            </w:r>
          </w:p>
        </w:tc>
        <w:tc>
          <w:tcPr>
            <w:tcW w:w="0" w:type="auto"/>
            <w:vAlign w:val="center"/>
          </w:tcPr>
          <w:p w14:paraId="1F02EE69" w14:textId="1133CCCE"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7,382</w:t>
            </w:r>
          </w:p>
        </w:tc>
        <w:tc>
          <w:tcPr>
            <w:tcW w:w="0" w:type="auto"/>
            <w:vAlign w:val="center"/>
          </w:tcPr>
          <w:p w14:paraId="4E80FB20" w14:textId="67363DD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5,872</w:t>
            </w:r>
          </w:p>
        </w:tc>
        <w:tc>
          <w:tcPr>
            <w:tcW w:w="0" w:type="auto"/>
            <w:vAlign w:val="center"/>
          </w:tcPr>
          <w:p w14:paraId="452ED151" w14:textId="4A7013D2"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1,510</w:t>
            </w:r>
          </w:p>
        </w:tc>
        <w:tc>
          <w:tcPr>
            <w:tcW w:w="0" w:type="auto"/>
            <w:vAlign w:val="center"/>
          </w:tcPr>
          <w:p w14:paraId="3020F056"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p>
        </w:tc>
        <w:tc>
          <w:tcPr>
            <w:tcW w:w="0" w:type="auto"/>
            <w:vAlign w:val="center"/>
          </w:tcPr>
          <w:p w14:paraId="7AB0D9E5" w14:textId="286930D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606,433</w:t>
            </w:r>
          </w:p>
        </w:tc>
        <w:tc>
          <w:tcPr>
            <w:tcW w:w="0" w:type="auto"/>
            <w:vAlign w:val="center"/>
          </w:tcPr>
          <w:p w14:paraId="6DA43168" w14:textId="4007BFF5"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507,076</w:t>
            </w:r>
          </w:p>
        </w:tc>
        <w:tc>
          <w:tcPr>
            <w:tcW w:w="0" w:type="auto"/>
            <w:tcBorders>
              <w:right w:val="single" w:sz="4" w:space="0" w:color="auto"/>
            </w:tcBorders>
            <w:vAlign w:val="center"/>
          </w:tcPr>
          <w:p w14:paraId="4F084F80" w14:textId="17955F15"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99,357</w:t>
            </w:r>
          </w:p>
        </w:tc>
      </w:tr>
      <w:tr w:rsidR="007B0AEA" w:rsidRPr="00925091" w14:paraId="00F71F7C" w14:textId="77777777" w:rsidTr="007B0AEA">
        <w:trPr>
          <w:cantSplit/>
          <w:trHeight w:val="238"/>
          <w:jc w:val="center"/>
        </w:trPr>
        <w:tc>
          <w:tcPr>
            <w:tcW w:w="0" w:type="auto"/>
            <w:tcBorders>
              <w:left w:val="single" w:sz="4" w:space="0" w:color="auto"/>
            </w:tcBorders>
            <w:vAlign w:val="center"/>
          </w:tcPr>
          <w:p w14:paraId="5B01A508" w14:textId="77777777" w:rsidR="007B0AEA" w:rsidRPr="00925091" w:rsidRDefault="007B0AEA" w:rsidP="007B0AEA">
            <w:pPr>
              <w:spacing w:before="0" w:after="0" w:line="269" w:lineRule="auto"/>
              <w:ind w:left="144"/>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Vojvodina</w:t>
            </w:r>
          </w:p>
        </w:tc>
        <w:tc>
          <w:tcPr>
            <w:tcW w:w="0" w:type="auto"/>
            <w:vAlign w:val="center"/>
          </w:tcPr>
          <w:p w14:paraId="6924FFB1" w14:textId="0B44A673"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11,250</w:t>
            </w:r>
          </w:p>
        </w:tc>
        <w:tc>
          <w:tcPr>
            <w:tcW w:w="0" w:type="auto"/>
            <w:vAlign w:val="center"/>
          </w:tcPr>
          <w:p w14:paraId="4B7216B2" w14:textId="5462A3E4"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6,199</w:t>
            </w:r>
          </w:p>
        </w:tc>
        <w:tc>
          <w:tcPr>
            <w:tcW w:w="0" w:type="auto"/>
            <w:vAlign w:val="center"/>
          </w:tcPr>
          <w:p w14:paraId="72DD8BFE" w14:textId="48B53801"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5,051</w:t>
            </w:r>
          </w:p>
        </w:tc>
        <w:tc>
          <w:tcPr>
            <w:tcW w:w="0" w:type="auto"/>
            <w:vAlign w:val="center"/>
          </w:tcPr>
          <w:p w14:paraId="38508D9A"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p>
        </w:tc>
        <w:tc>
          <w:tcPr>
            <w:tcW w:w="0" w:type="auto"/>
            <w:vAlign w:val="center"/>
          </w:tcPr>
          <w:p w14:paraId="05553061" w14:textId="5E3F7108"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696,157</w:t>
            </w:r>
          </w:p>
        </w:tc>
        <w:tc>
          <w:tcPr>
            <w:tcW w:w="0" w:type="auto"/>
            <w:vAlign w:val="center"/>
          </w:tcPr>
          <w:p w14:paraId="302DAE24" w14:textId="045BF1FA"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424,010</w:t>
            </w:r>
          </w:p>
        </w:tc>
        <w:tc>
          <w:tcPr>
            <w:tcW w:w="0" w:type="auto"/>
            <w:tcBorders>
              <w:right w:val="single" w:sz="4" w:space="0" w:color="auto"/>
            </w:tcBorders>
            <w:vAlign w:val="center"/>
          </w:tcPr>
          <w:p w14:paraId="637E57B1" w14:textId="586D5DFA"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272,147</w:t>
            </w:r>
          </w:p>
        </w:tc>
      </w:tr>
      <w:tr w:rsidR="007B0AEA" w:rsidRPr="00925091" w14:paraId="1E5553F9" w14:textId="77777777" w:rsidTr="007B0AEA">
        <w:trPr>
          <w:cantSplit/>
          <w:trHeight w:val="238"/>
          <w:jc w:val="center"/>
        </w:trPr>
        <w:tc>
          <w:tcPr>
            <w:tcW w:w="0" w:type="auto"/>
            <w:tcBorders>
              <w:left w:val="single" w:sz="4" w:space="0" w:color="auto"/>
            </w:tcBorders>
            <w:vAlign w:val="center"/>
          </w:tcPr>
          <w:p w14:paraId="237F8707" w14:textId="77777777" w:rsidR="007B0AEA" w:rsidRPr="00925091" w:rsidRDefault="007B0AEA" w:rsidP="007B0AEA">
            <w:pPr>
              <w:spacing w:before="0" w:after="0" w:line="269" w:lineRule="auto"/>
              <w:ind w:left="144"/>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Sumadija and Western Serbia</w:t>
            </w:r>
          </w:p>
        </w:tc>
        <w:tc>
          <w:tcPr>
            <w:tcW w:w="0" w:type="auto"/>
            <w:vAlign w:val="center"/>
          </w:tcPr>
          <w:p w14:paraId="6E6BED1C" w14:textId="63B23250"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11,513</w:t>
            </w:r>
          </w:p>
        </w:tc>
        <w:tc>
          <w:tcPr>
            <w:tcW w:w="0" w:type="auto"/>
            <w:vAlign w:val="center"/>
          </w:tcPr>
          <w:p w14:paraId="3D744126" w14:textId="2F907844"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4,243</w:t>
            </w:r>
          </w:p>
        </w:tc>
        <w:tc>
          <w:tcPr>
            <w:tcW w:w="0" w:type="auto"/>
            <w:vAlign w:val="center"/>
          </w:tcPr>
          <w:p w14:paraId="2FF41550" w14:textId="6B325A99"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7,270</w:t>
            </w:r>
          </w:p>
        </w:tc>
        <w:tc>
          <w:tcPr>
            <w:tcW w:w="0" w:type="auto"/>
            <w:vAlign w:val="center"/>
          </w:tcPr>
          <w:p w14:paraId="41E274FB"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p>
        </w:tc>
        <w:tc>
          <w:tcPr>
            <w:tcW w:w="0" w:type="auto"/>
            <w:vAlign w:val="center"/>
          </w:tcPr>
          <w:p w14:paraId="27AE8FA3" w14:textId="01D01CED"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662,769</w:t>
            </w:r>
          </w:p>
        </w:tc>
        <w:tc>
          <w:tcPr>
            <w:tcW w:w="0" w:type="auto"/>
            <w:vAlign w:val="center"/>
          </w:tcPr>
          <w:p w14:paraId="6EC91A82" w14:textId="565EA5D6"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324,200</w:t>
            </w:r>
          </w:p>
        </w:tc>
        <w:tc>
          <w:tcPr>
            <w:tcW w:w="0" w:type="auto"/>
            <w:tcBorders>
              <w:right w:val="single" w:sz="4" w:space="0" w:color="auto"/>
            </w:tcBorders>
            <w:vAlign w:val="center"/>
          </w:tcPr>
          <w:p w14:paraId="340AD334" w14:textId="76BB263F"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338,569</w:t>
            </w:r>
          </w:p>
        </w:tc>
      </w:tr>
      <w:tr w:rsidR="007B0AEA" w:rsidRPr="00925091" w14:paraId="3B763348" w14:textId="77777777" w:rsidTr="007B0AEA">
        <w:trPr>
          <w:cantSplit/>
          <w:trHeight w:val="238"/>
          <w:jc w:val="center"/>
        </w:trPr>
        <w:tc>
          <w:tcPr>
            <w:tcW w:w="0" w:type="auto"/>
            <w:tcBorders>
              <w:left w:val="single" w:sz="4" w:space="0" w:color="auto"/>
              <w:bottom w:val="single" w:sz="4" w:space="0" w:color="auto"/>
            </w:tcBorders>
            <w:vAlign w:val="center"/>
          </w:tcPr>
          <w:p w14:paraId="4A834861" w14:textId="77777777" w:rsidR="007B0AEA" w:rsidRPr="00925091" w:rsidRDefault="007B0AEA" w:rsidP="007B0AEA">
            <w:pPr>
              <w:spacing w:before="0" w:after="0" w:line="269" w:lineRule="auto"/>
              <w:ind w:left="144"/>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Southern and Eastern Serbia</w:t>
            </w:r>
          </w:p>
        </w:tc>
        <w:tc>
          <w:tcPr>
            <w:tcW w:w="0" w:type="auto"/>
            <w:tcBorders>
              <w:bottom w:val="single" w:sz="4" w:space="0" w:color="auto"/>
            </w:tcBorders>
            <w:vAlign w:val="center"/>
          </w:tcPr>
          <w:p w14:paraId="297C91AC" w14:textId="46410B2B"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9,566</w:t>
            </w:r>
          </w:p>
        </w:tc>
        <w:tc>
          <w:tcPr>
            <w:tcW w:w="0" w:type="auto"/>
            <w:tcBorders>
              <w:bottom w:val="single" w:sz="4" w:space="0" w:color="auto"/>
            </w:tcBorders>
            <w:vAlign w:val="center"/>
          </w:tcPr>
          <w:p w14:paraId="2AED448F" w14:textId="48563DDF"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3,703</w:t>
            </w:r>
          </w:p>
        </w:tc>
        <w:tc>
          <w:tcPr>
            <w:tcW w:w="0" w:type="auto"/>
            <w:tcBorders>
              <w:bottom w:val="single" w:sz="4" w:space="0" w:color="auto"/>
            </w:tcBorders>
            <w:vAlign w:val="center"/>
          </w:tcPr>
          <w:p w14:paraId="6B6BE9F4" w14:textId="05CA906E"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5,863</w:t>
            </w:r>
          </w:p>
        </w:tc>
        <w:tc>
          <w:tcPr>
            <w:tcW w:w="0" w:type="auto"/>
            <w:tcBorders>
              <w:bottom w:val="single" w:sz="4" w:space="0" w:color="auto"/>
            </w:tcBorders>
            <w:vAlign w:val="center"/>
          </w:tcPr>
          <w:p w14:paraId="25FB24D6"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 </w:t>
            </w:r>
          </w:p>
        </w:tc>
        <w:tc>
          <w:tcPr>
            <w:tcW w:w="0" w:type="auto"/>
            <w:tcBorders>
              <w:bottom w:val="single" w:sz="4" w:space="0" w:color="auto"/>
            </w:tcBorders>
            <w:vAlign w:val="center"/>
          </w:tcPr>
          <w:p w14:paraId="2EC0EE80" w14:textId="71C3DBB2"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522,527</w:t>
            </w:r>
          </w:p>
        </w:tc>
        <w:tc>
          <w:tcPr>
            <w:tcW w:w="0" w:type="auto"/>
            <w:tcBorders>
              <w:bottom w:val="single" w:sz="4" w:space="0" w:color="auto"/>
            </w:tcBorders>
            <w:vAlign w:val="center"/>
          </w:tcPr>
          <w:p w14:paraId="3A8A664A" w14:textId="080CEE6B"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278,634</w:t>
            </w:r>
          </w:p>
        </w:tc>
        <w:tc>
          <w:tcPr>
            <w:tcW w:w="0" w:type="auto"/>
            <w:tcBorders>
              <w:bottom w:val="single" w:sz="4" w:space="0" w:color="auto"/>
              <w:right w:val="single" w:sz="4" w:space="0" w:color="auto"/>
            </w:tcBorders>
            <w:vAlign w:val="center"/>
          </w:tcPr>
          <w:p w14:paraId="6A82EACA" w14:textId="04B72458"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243,893</w:t>
            </w:r>
          </w:p>
        </w:tc>
      </w:tr>
    </w:tbl>
    <w:p w14:paraId="276593C8" w14:textId="2396BA96" w:rsidR="007B0AEA" w:rsidRPr="00925091" w:rsidRDefault="007B0AEA"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 xml:space="preserve">The overall sample size for the 2019 Serbia MICS was calculated as 8,000 households and 400 enumeration areas. The sample size was determined based on a review of the 2014 Serbia MICS results along with a discussion </w:t>
      </w:r>
      <w:r w:rsidR="00441F95" w:rsidRPr="00925091">
        <w:rPr>
          <w:rFonts w:asciiTheme="majorHAnsi" w:hAnsiTheme="majorHAnsi" w:cstheme="majorHAnsi"/>
          <w:snapToGrid w:val="0"/>
          <w:szCs w:val="22"/>
          <w:lang w:val="en-GB"/>
        </w:rPr>
        <w:t>o</w:t>
      </w:r>
      <w:r w:rsidR="00441F95">
        <w:rPr>
          <w:rFonts w:asciiTheme="majorHAnsi" w:hAnsiTheme="majorHAnsi" w:cstheme="majorHAnsi"/>
          <w:snapToGrid w:val="0"/>
          <w:szCs w:val="22"/>
          <w:lang w:val="en-GB"/>
        </w:rPr>
        <w:t>f</w:t>
      </w:r>
      <w:r w:rsidR="00441F95" w:rsidRPr="00925091">
        <w:rPr>
          <w:rFonts w:asciiTheme="majorHAnsi" w:hAnsiTheme="majorHAnsi" w:cstheme="majorHAnsi"/>
          <w:snapToGrid w:val="0"/>
          <w:szCs w:val="22"/>
          <w:lang w:val="en-GB"/>
        </w:rPr>
        <w:t xml:space="preserve"> </w:t>
      </w:r>
      <w:r w:rsidRPr="00925091">
        <w:rPr>
          <w:rFonts w:asciiTheme="majorHAnsi" w:hAnsiTheme="majorHAnsi" w:cstheme="majorHAnsi"/>
          <w:snapToGrid w:val="0"/>
          <w:szCs w:val="22"/>
          <w:lang w:val="en-GB"/>
        </w:rPr>
        <w:t>budget constraints. The tentatively planned sample size was further assessed by supplementary calculations using the MICS Sample Size Calculation Template. The following formula was used for the calculation:</w:t>
      </w:r>
    </w:p>
    <w:p w14:paraId="7EE3214A" w14:textId="77777777" w:rsidR="007B0AEA" w:rsidRPr="00925091" w:rsidRDefault="0033107F" w:rsidP="007B0AEA">
      <w:pPr>
        <w:spacing w:line="269" w:lineRule="auto"/>
        <w:jc w:val="center"/>
        <w:rPr>
          <w:rFonts w:asciiTheme="majorHAnsi" w:hAnsiTheme="majorHAnsi" w:cstheme="majorHAnsi"/>
          <w:snapToGrid w:val="0"/>
          <w:szCs w:val="22"/>
          <w:lang w:val="en-GB"/>
        </w:rPr>
      </w:pPr>
      <w:r w:rsidRPr="0033107F">
        <w:rPr>
          <w:rFonts w:asciiTheme="majorHAnsi" w:hAnsiTheme="majorHAnsi" w:cstheme="majorHAnsi"/>
          <w:noProof/>
          <w:position w:val="-28"/>
          <w:szCs w:val="22"/>
          <w:lang w:val="en-GB"/>
        </w:rPr>
        <w:object w:dxaOrig="3540" w:dyaOrig="660" w14:anchorId="71187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4pt;height:30.75pt;mso-width-percent:0;mso-height-percent:0;mso-width-percent:0;mso-height-percent:0" o:ole="">
            <v:imagedata r:id="rId8" o:title=""/>
          </v:shape>
          <o:OLEObject Type="Embed" ProgID="Equation.3" ShapeID="_x0000_i1025" DrawAspect="Content" ObjectID="_1666521033" r:id="rId9"/>
        </w:object>
      </w:r>
      <w:r w:rsidR="007B0AEA" w:rsidRPr="00925091">
        <w:rPr>
          <w:rFonts w:asciiTheme="majorHAnsi" w:hAnsiTheme="majorHAnsi" w:cstheme="majorHAnsi"/>
          <w:snapToGrid w:val="0"/>
          <w:szCs w:val="22"/>
          <w:lang w:val="en-GB"/>
        </w:rPr>
        <w:t>,</w:t>
      </w:r>
    </w:p>
    <w:p w14:paraId="6A811894" w14:textId="77777777" w:rsidR="007B0AEA" w:rsidRPr="00925091" w:rsidRDefault="007B0AEA" w:rsidP="007B0AEA">
      <w:pPr>
        <w:spacing w:line="269" w:lineRule="auto"/>
        <w:ind w:firstLine="720"/>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where:</w:t>
      </w:r>
    </w:p>
    <w:p w14:paraId="7598D9FA" w14:textId="77777777" w:rsidR="007B0AEA" w:rsidRPr="00925091" w:rsidRDefault="007B0AEA" w:rsidP="007B0AEA">
      <w:pPr>
        <w:pStyle w:val="BodyText"/>
        <w:widowControl/>
        <w:spacing w:line="269" w:lineRule="auto"/>
        <w:ind w:left="1710" w:hanging="990"/>
        <w:rPr>
          <w:rFonts w:asciiTheme="majorHAnsi" w:hAnsiTheme="majorHAnsi" w:cstheme="majorHAnsi"/>
          <w:szCs w:val="22"/>
          <w:lang w:val="en-GB"/>
        </w:rPr>
      </w:pPr>
      <w:r w:rsidRPr="00925091">
        <w:rPr>
          <w:rFonts w:asciiTheme="majorHAnsi" w:hAnsiTheme="majorHAnsi" w:cstheme="majorHAnsi"/>
          <w:bCs/>
          <w:i/>
          <w:szCs w:val="22"/>
          <w:lang w:val="en-GB"/>
        </w:rPr>
        <w:t>n</w:t>
      </w:r>
      <w:r w:rsidRPr="00925091">
        <w:rPr>
          <w:rFonts w:asciiTheme="majorHAnsi" w:hAnsiTheme="majorHAnsi" w:cstheme="majorHAnsi"/>
          <w:bCs/>
          <w:szCs w:val="22"/>
          <w:lang w:val="en-GB"/>
        </w:rPr>
        <w:t xml:space="preserve"> =</w:t>
      </w:r>
      <w:r w:rsidRPr="00925091">
        <w:rPr>
          <w:rFonts w:asciiTheme="majorHAnsi" w:hAnsiTheme="majorHAnsi" w:cstheme="majorHAnsi"/>
          <w:bCs/>
          <w:szCs w:val="22"/>
          <w:lang w:val="en-GB"/>
        </w:rPr>
        <w:tab/>
      </w:r>
      <w:r w:rsidRPr="00925091">
        <w:rPr>
          <w:rFonts w:asciiTheme="majorHAnsi" w:hAnsiTheme="majorHAnsi" w:cstheme="majorHAnsi"/>
          <w:szCs w:val="22"/>
          <w:lang w:val="en-GB"/>
        </w:rPr>
        <w:t>the required sample size, expressed as number of households</w:t>
      </w:r>
    </w:p>
    <w:p w14:paraId="03EF4176" w14:textId="77777777" w:rsidR="007B0AEA" w:rsidRPr="00925091" w:rsidRDefault="007B0AEA" w:rsidP="007B0AEA">
      <w:pPr>
        <w:pStyle w:val="BodyText"/>
        <w:widowControl/>
        <w:spacing w:line="269" w:lineRule="auto"/>
        <w:ind w:left="1710" w:hanging="990"/>
        <w:rPr>
          <w:rFonts w:asciiTheme="majorHAnsi" w:hAnsiTheme="majorHAnsi" w:cstheme="majorHAnsi"/>
          <w:szCs w:val="22"/>
          <w:lang w:val="en-GB"/>
        </w:rPr>
      </w:pPr>
      <w:r w:rsidRPr="00925091">
        <w:rPr>
          <w:rFonts w:asciiTheme="majorHAnsi" w:hAnsiTheme="majorHAnsi" w:cstheme="majorHAnsi"/>
          <w:bCs/>
          <w:i/>
          <w:szCs w:val="22"/>
          <w:lang w:val="en-GB"/>
        </w:rPr>
        <w:t>4</w:t>
      </w:r>
      <w:r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ab/>
        <w:t>a factor to achieve the 95 percent level of confidence</w:t>
      </w:r>
    </w:p>
    <w:p w14:paraId="0CAF063D" w14:textId="77777777" w:rsidR="007B0AEA" w:rsidRPr="00925091" w:rsidRDefault="007B0AEA" w:rsidP="007B0AEA">
      <w:pPr>
        <w:pStyle w:val="BodyText"/>
        <w:widowControl/>
        <w:spacing w:line="269" w:lineRule="auto"/>
        <w:ind w:left="1710" w:hanging="990"/>
        <w:rPr>
          <w:rFonts w:asciiTheme="majorHAnsi" w:hAnsiTheme="majorHAnsi" w:cstheme="majorHAnsi"/>
          <w:szCs w:val="22"/>
          <w:lang w:val="en-GB"/>
        </w:rPr>
      </w:pPr>
      <w:r w:rsidRPr="00925091">
        <w:rPr>
          <w:rFonts w:asciiTheme="majorHAnsi" w:hAnsiTheme="majorHAnsi" w:cstheme="majorHAnsi"/>
          <w:bCs/>
          <w:i/>
          <w:szCs w:val="22"/>
          <w:lang w:val="en-GB"/>
        </w:rPr>
        <w:t>r</w:t>
      </w:r>
      <w:r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ab/>
        <w:t>the predicted or anticipated value of the indicator, expressed in the form of a proportion</w:t>
      </w:r>
    </w:p>
    <w:p w14:paraId="318F18BE" w14:textId="77777777" w:rsidR="007B0AEA" w:rsidRPr="00925091" w:rsidRDefault="007B0AEA" w:rsidP="007B0AEA">
      <w:pPr>
        <w:pStyle w:val="BodyText"/>
        <w:widowControl/>
        <w:suppressAutoHyphens/>
        <w:spacing w:line="269" w:lineRule="auto"/>
        <w:ind w:left="1710" w:hanging="990"/>
        <w:rPr>
          <w:rFonts w:asciiTheme="majorHAnsi" w:hAnsiTheme="majorHAnsi" w:cstheme="majorHAnsi"/>
          <w:szCs w:val="22"/>
          <w:lang w:val="en-GB"/>
        </w:rPr>
      </w:pPr>
      <w:r w:rsidRPr="00925091">
        <w:rPr>
          <w:rFonts w:asciiTheme="majorHAnsi" w:hAnsiTheme="majorHAnsi" w:cstheme="majorHAnsi"/>
          <w:bCs/>
          <w:i/>
          <w:szCs w:val="22"/>
          <w:lang w:val="en-GB"/>
        </w:rPr>
        <w:t>deff</w:t>
      </w:r>
      <w:r w:rsidRPr="00925091">
        <w:rPr>
          <w:rFonts w:asciiTheme="majorHAnsi" w:hAnsiTheme="majorHAnsi" w:cstheme="majorHAnsi"/>
          <w:bCs/>
          <w:szCs w:val="22"/>
          <w:lang w:val="en-GB"/>
        </w:rPr>
        <w:t xml:space="preserve"> =</w:t>
      </w:r>
      <w:r w:rsidRPr="00925091">
        <w:rPr>
          <w:rFonts w:asciiTheme="majorHAnsi" w:hAnsiTheme="majorHAnsi" w:cstheme="majorHAnsi"/>
          <w:bCs/>
          <w:szCs w:val="22"/>
          <w:lang w:val="en-GB"/>
        </w:rPr>
        <w:tab/>
      </w:r>
      <w:r w:rsidRPr="00925091">
        <w:rPr>
          <w:rFonts w:asciiTheme="majorHAnsi" w:hAnsiTheme="majorHAnsi" w:cstheme="majorHAnsi"/>
          <w:szCs w:val="22"/>
          <w:lang w:val="en-GB"/>
        </w:rPr>
        <w:t>the design effect for the indicator, estimated from a previous survey or using a default value of 1.5</w:t>
      </w:r>
    </w:p>
    <w:p w14:paraId="59B50EE8" w14:textId="77777777" w:rsidR="007B0AEA" w:rsidRPr="00925091" w:rsidRDefault="007B0AEA" w:rsidP="007B0AEA">
      <w:pPr>
        <w:pStyle w:val="BodyText"/>
        <w:widowControl/>
        <w:spacing w:line="269" w:lineRule="auto"/>
        <w:ind w:left="1710" w:hanging="990"/>
        <w:rPr>
          <w:rFonts w:asciiTheme="majorHAnsi" w:hAnsiTheme="majorHAnsi" w:cstheme="majorHAnsi"/>
          <w:szCs w:val="22"/>
          <w:lang w:val="en-GB"/>
        </w:rPr>
      </w:pPr>
      <w:r w:rsidRPr="00925091">
        <w:rPr>
          <w:rFonts w:asciiTheme="majorHAnsi" w:hAnsiTheme="majorHAnsi" w:cstheme="majorHAnsi"/>
          <w:bCs/>
          <w:i/>
          <w:szCs w:val="22"/>
          <w:lang w:val="en-GB"/>
        </w:rPr>
        <w:t>RME</w:t>
      </w:r>
      <w:r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ab/>
        <w:t>the relative margin of error of r to be tolerated at the 95 percent level of confidence; it is generally not more that 0.12 (12 percent) for national-level estimates</w:t>
      </w:r>
    </w:p>
    <w:p w14:paraId="1209CAFA" w14:textId="77777777" w:rsidR="007B0AEA" w:rsidRPr="00925091" w:rsidRDefault="007B0AEA" w:rsidP="007B0AEA">
      <w:pPr>
        <w:pStyle w:val="BodyText"/>
        <w:widowControl/>
        <w:spacing w:line="269" w:lineRule="auto"/>
        <w:ind w:left="1710" w:hanging="990"/>
        <w:rPr>
          <w:rFonts w:asciiTheme="majorHAnsi" w:hAnsiTheme="majorHAnsi" w:cstheme="majorHAnsi"/>
          <w:szCs w:val="22"/>
          <w:lang w:val="en-GB"/>
        </w:rPr>
      </w:pPr>
      <w:r w:rsidRPr="00925091">
        <w:rPr>
          <w:rFonts w:asciiTheme="majorHAnsi" w:hAnsiTheme="majorHAnsi" w:cstheme="majorHAnsi"/>
          <w:bCs/>
          <w:i/>
          <w:szCs w:val="22"/>
          <w:lang w:val="en-GB"/>
        </w:rPr>
        <w:t>pb</w:t>
      </w:r>
      <w:r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ab/>
        <w:t xml:space="preserve">the proportion of the total population upon which the indicator, </w:t>
      </w:r>
      <w:r w:rsidRPr="00925091">
        <w:rPr>
          <w:rFonts w:asciiTheme="majorHAnsi" w:hAnsiTheme="majorHAnsi" w:cstheme="majorHAnsi"/>
          <w:i/>
          <w:szCs w:val="22"/>
          <w:lang w:val="en-GB"/>
        </w:rPr>
        <w:t>r</w:t>
      </w:r>
      <w:r w:rsidRPr="00925091">
        <w:rPr>
          <w:rFonts w:asciiTheme="majorHAnsi" w:hAnsiTheme="majorHAnsi" w:cstheme="majorHAnsi"/>
          <w:szCs w:val="22"/>
          <w:lang w:val="en-GB"/>
        </w:rPr>
        <w:t>, is based</w:t>
      </w:r>
    </w:p>
    <w:p w14:paraId="1CBC937E" w14:textId="77777777" w:rsidR="007B0AEA" w:rsidRPr="00925091" w:rsidRDefault="007B0AEA" w:rsidP="007B0AEA">
      <w:pPr>
        <w:pStyle w:val="BodyText"/>
        <w:widowControl/>
        <w:spacing w:line="269" w:lineRule="auto"/>
        <w:ind w:left="1710" w:hanging="990"/>
        <w:rPr>
          <w:rFonts w:asciiTheme="majorHAnsi" w:hAnsiTheme="majorHAnsi" w:cstheme="majorHAnsi"/>
          <w:szCs w:val="22"/>
          <w:lang w:val="en-GB"/>
        </w:rPr>
      </w:pPr>
      <w:r w:rsidRPr="00925091">
        <w:rPr>
          <w:rFonts w:asciiTheme="majorHAnsi" w:hAnsiTheme="majorHAnsi" w:cstheme="majorHAnsi"/>
          <w:bCs/>
          <w:i/>
          <w:szCs w:val="22"/>
          <w:lang w:val="en-GB"/>
        </w:rPr>
        <w:t xml:space="preserve">AveSize </w:t>
      </w:r>
      <w:r w:rsidRPr="00925091">
        <w:rPr>
          <w:rFonts w:asciiTheme="majorHAnsi" w:hAnsiTheme="majorHAnsi" w:cstheme="majorHAnsi"/>
          <w:bCs/>
          <w:szCs w:val="22"/>
          <w:lang w:val="en-GB"/>
        </w:rPr>
        <w:t>=</w:t>
      </w:r>
      <w:r w:rsidRPr="00925091">
        <w:rPr>
          <w:rFonts w:asciiTheme="majorHAnsi" w:hAnsiTheme="majorHAnsi" w:cstheme="majorHAnsi"/>
          <w:bCs/>
          <w:szCs w:val="22"/>
          <w:lang w:val="en-GB"/>
        </w:rPr>
        <w:tab/>
      </w:r>
      <w:r w:rsidRPr="00925091">
        <w:rPr>
          <w:rFonts w:asciiTheme="majorHAnsi" w:hAnsiTheme="majorHAnsi" w:cstheme="majorHAnsi"/>
          <w:szCs w:val="22"/>
          <w:lang w:val="en-GB"/>
        </w:rPr>
        <w:t>the average household size (mean number of persons per household)</w:t>
      </w:r>
    </w:p>
    <w:p w14:paraId="097304DF" w14:textId="77777777" w:rsidR="007B0AEA" w:rsidRPr="00925091" w:rsidRDefault="007B0AEA" w:rsidP="007B0AEA">
      <w:pPr>
        <w:pStyle w:val="BodyText"/>
        <w:widowControl/>
        <w:spacing w:line="269" w:lineRule="auto"/>
        <w:ind w:left="1710" w:hanging="990"/>
        <w:rPr>
          <w:rFonts w:asciiTheme="majorHAnsi" w:hAnsiTheme="majorHAnsi" w:cstheme="majorHAnsi"/>
          <w:szCs w:val="22"/>
          <w:lang w:val="en-GB"/>
        </w:rPr>
      </w:pPr>
      <w:r w:rsidRPr="00925091">
        <w:rPr>
          <w:rFonts w:asciiTheme="majorHAnsi" w:hAnsiTheme="majorHAnsi" w:cstheme="majorHAnsi"/>
          <w:i/>
          <w:szCs w:val="22"/>
          <w:lang w:val="en-GB"/>
        </w:rPr>
        <w:t>RR</w:t>
      </w:r>
      <w:r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ab/>
        <w:t>the predicted response rate</w:t>
      </w:r>
    </w:p>
    <w:p w14:paraId="1C8E860D" w14:textId="27AEC0FA" w:rsidR="007B0AEA" w:rsidRPr="00925091" w:rsidRDefault="007B0AEA" w:rsidP="00617629">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 xml:space="preserve">An </w:t>
      </w:r>
      <w:r w:rsidRPr="00925091">
        <w:rPr>
          <w:rFonts w:asciiTheme="majorHAnsi" w:hAnsiTheme="majorHAnsi" w:cstheme="majorHAnsi"/>
          <w:szCs w:val="22"/>
          <w:lang w:val="en-GB"/>
        </w:rPr>
        <w:t>important</w:t>
      </w:r>
      <w:r w:rsidRPr="00925091">
        <w:rPr>
          <w:rFonts w:asciiTheme="majorHAnsi" w:hAnsiTheme="majorHAnsi" w:cstheme="majorHAnsi"/>
          <w:snapToGrid w:val="0"/>
          <w:szCs w:val="22"/>
          <w:lang w:val="en-GB"/>
        </w:rPr>
        <w:t xml:space="preserve"> factor influenc</w:t>
      </w:r>
      <w:r w:rsidR="009144EA">
        <w:rPr>
          <w:rFonts w:asciiTheme="majorHAnsi" w:hAnsiTheme="majorHAnsi" w:cstheme="majorHAnsi"/>
          <w:snapToGrid w:val="0"/>
          <w:szCs w:val="22"/>
          <w:lang w:val="en-GB"/>
        </w:rPr>
        <w:t>ing</w:t>
      </w:r>
      <w:r w:rsidRPr="00925091">
        <w:rPr>
          <w:rFonts w:asciiTheme="majorHAnsi" w:hAnsiTheme="majorHAnsi" w:cstheme="majorHAnsi"/>
          <w:snapToGrid w:val="0"/>
          <w:szCs w:val="22"/>
          <w:lang w:val="en-GB"/>
        </w:rPr>
        <w:t xml:space="preserve"> the calculation of the sample size using various indicators for children under </w:t>
      </w:r>
      <w:r w:rsidR="009144EA">
        <w:rPr>
          <w:rFonts w:asciiTheme="majorHAnsi" w:hAnsiTheme="majorHAnsi" w:cstheme="majorHAnsi"/>
          <w:snapToGrid w:val="0"/>
          <w:szCs w:val="22"/>
          <w:lang w:val="en-GB"/>
        </w:rPr>
        <w:t>five</w:t>
      </w:r>
      <w:r w:rsidRPr="00925091">
        <w:rPr>
          <w:rFonts w:asciiTheme="majorHAnsi" w:hAnsiTheme="majorHAnsi" w:cstheme="majorHAnsi"/>
          <w:snapToGrid w:val="0"/>
          <w:szCs w:val="22"/>
          <w:lang w:val="en-GB"/>
        </w:rPr>
        <w:t xml:space="preserve"> is the very low fertility rate, which increases the number of sample households considerably. A sample size of over 20,000 households is needed to provide a sufficient number of children under </w:t>
      </w:r>
      <w:r w:rsidR="009144EA">
        <w:rPr>
          <w:rFonts w:asciiTheme="majorHAnsi" w:hAnsiTheme="majorHAnsi" w:cstheme="majorHAnsi"/>
          <w:snapToGrid w:val="0"/>
          <w:szCs w:val="22"/>
          <w:lang w:val="en-GB"/>
        </w:rPr>
        <w:t>five</w:t>
      </w:r>
      <w:r w:rsidR="009144EA" w:rsidRPr="00925091">
        <w:rPr>
          <w:rFonts w:asciiTheme="majorHAnsi" w:hAnsiTheme="majorHAnsi" w:cstheme="majorHAnsi"/>
          <w:snapToGrid w:val="0"/>
          <w:szCs w:val="22"/>
          <w:lang w:val="en-GB"/>
        </w:rPr>
        <w:t xml:space="preserve"> </w:t>
      </w:r>
      <w:r w:rsidRPr="00925091">
        <w:rPr>
          <w:rFonts w:asciiTheme="majorHAnsi" w:hAnsiTheme="majorHAnsi" w:cstheme="majorHAnsi"/>
          <w:snapToGrid w:val="0"/>
          <w:szCs w:val="22"/>
          <w:lang w:val="en-GB"/>
        </w:rPr>
        <w:t xml:space="preserve">(at least 2,400). Therefore, in order to reduce the number of households in the sample, but not to lose estimation reliability, the </w:t>
      </w:r>
      <w:r w:rsidR="00CA2F22" w:rsidRPr="00925091">
        <w:rPr>
          <w:rFonts w:asciiTheme="majorHAnsi" w:hAnsiTheme="majorHAnsi" w:cstheme="majorHAnsi"/>
          <w:snapToGrid w:val="0"/>
          <w:szCs w:val="22"/>
          <w:lang w:val="en-GB"/>
        </w:rPr>
        <w:t xml:space="preserve">second stage </w:t>
      </w:r>
      <w:r w:rsidRPr="00925091">
        <w:rPr>
          <w:rFonts w:asciiTheme="majorHAnsi" w:hAnsiTheme="majorHAnsi" w:cstheme="majorHAnsi"/>
          <w:snapToGrid w:val="0"/>
          <w:szCs w:val="22"/>
          <w:lang w:val="en-GB"/>
        </w:rPr>
        <w:t xml:space="preserve">stratification of the sample into categories with and without </w:t>
      </w:r>
      <w:r w:rsidR="0078498B">
        <w:rPr>
          <w:rFonts w:asciiTheme="majorHAnsi" w:hAnsiTheme="majorHAnsi" w:cstheme="majorHAnsi"/>
          <w:snapToGrid w:val="0"/>
          <w:szCs w:val="22"/>
          <w:lang w:val="en-GB"/>
        </w:rPr>
        <w:t>children aged</w:t>
      </w:r>
      <w:r w:rsidRPr="00925091">
        <w:rPr>
          <w:rFonts w:asciiTheme="majorHAnsi" w:hAnsiTheme="majorHAnsi" w:cstheme="majorHAnsi"/>
          <w:snapToGrid w:val="0"/>
          <w:szCs w:val="22"/>
          <w:lang w:val="en-GB"/>
        </w:rPr>
        <w:t xml:space="preserve"> </w:t>
      </w:r>
      <w:r w:rsidR="00B028AA" w:rsidRPr="00925091">
        <w:rPr>
          <w:rFonts w:asciiTheme="majorHAnsi" w:hAnsiTheme="majorHAnsi" w:cstheme="majorHAnsi"/>
          <w:snapToGrid w:val="0"/>
          <w:szCs w:val="22"/>
          <w:lang w:val="en-GB"/>
        </w:rPr>
        <w:t>0–</w:t>
      </w:r>
      <w:r w:rsidRPr="00925091">
        <w:rPr>
          <w:rFonts w:asciiTheme="majorHAnsi" w:hAnsiTheme="majorHAnsi" w:cstheme="majorHAnsi"/>
          <w:snapToGrid w:val="0"/>
          <w:szCs w:val="22"/>
          <w:lang w:val="en-GB"/>
        </w:rPr>
        <w:t>4 years was done and a higher sampling rate was used for households with children.</w:t>
      </w:r>
    </w:p>
    <w:p w14:paraId="22B96C8D" w14:textId="5DBE1209" w:rsidR="007B0AEA" w:rsidRPr="00925091" w:rsidRDefault="007B0AEA"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 xml:space="preserve">Using a hypothetical value for an indicator (r) of 0.12, and values of deff=1.5, RME=0.12, pb=0.15 (required proportion of children in sample for drawing reliable conclusions), AveSize=2.9 and RR=0.85, the required sample size was calculated as 8,200 households, with about 2,800 households with children under </w:t>
      </w:r>
      <w:r w:rsidR="009144EA">
        <w:rPr>
          <w:rFonts w:asciiTheme="majorHAnsi" w:hAnsiTheme="majorHAnsi" w:cstheme="majorHAnsi"/>
          <w:snapToGrid w:val="0"/>
          <w:szCs w:val="22"/>
          <w:lang w:val="en-GB"/>
        </w:rPr>
        <w:t>five</w:t>
      </w:r>
      <w:r w:rsidR="009144EA" w:rsidRPr="00925091">
        <w:rPr>
          <w:rFonts w:asciiTheme="majorHAnsi" w:hAnsiTheme="majorHAnsi" w:cstheme="majorHAnsi"/>
          <w:snapToGrid w:val="0"/>
          <w:szCs w:val="22"/>
          <w:lang w:val="en-GB"/>
        </w:rPr>
        <w:t xml:space="preserve"> </w:t>
      </w:r>
      <w:r w:rsidRPr="00925091">
        <w:rPr>
          <w:rFonts w:asciiTheme="majorHAnsi" w:hAnsiTheme="majorHAnsi" w:cstheme="majorHAnsi"/>
          <w:snapToGrid w:val="0"/>
          <w:szCs w:val="22"/>
          <w:lang w:val="en-GB"/>
        </w:rPr>
        <w:t>(assuming one child per household)</w:t>
      </w:r>
      <w:r w:rsidR="000A02EE" w:rsidRPr="00925091">
        <w:rPr>
          <w:rFonts w:asciiTheme="majorHAnsi" w:hAnsiTheme="majorHAnsi" w:cstheme="majorHAnsi"/>
          <w:snapToGrid w:val="0"/>
          <w:szCs w:val="22"/>
          <w:lang w:val="en-GB"/>
        </w:rPr>
        <w:t xml:space="preserve"> if the oversampling strategy of households with children under </w:t>
      </w:r>
      <w:r w:rsidR="009144EA">
        <w:rPr>
          <w:rFonts w:asciiTheme="majorHAnsi" w:hAnsiTheme="majorHAnsi" w:cstheme="majorHAnsi"/>
          <w:snapToGrid w:val="0"/>
          <w:szCs w:val="22"/>
          <w:lang w:val="en-GB"/>
        </w:rPr>
        <w:t>five</w:t>
      </w:r>
      <w:r w:rsidR="009144EA" w:rsidRPr="00925091">
        <w:rPr>
          <w:rFonts w:asciiTheme="majorHAnsi" w:hAnsiTheme="majorHAnsi" w:cstheme="majorHAnsi"/>
          <w:snapToGrid w:val="0"/>
          <w:szCs w:val="22"/>
          <w:lang w:val="en-GB"/>
        </w:rPr>
        <w:t xml:space="preserve"> </w:t>
      </w:r>
      <w:r w:rsidR="000A02EE" w:rsidRPr="00925091">
        <w:rPr>
          <w:rFonts w:asciiTheme="majorHAnsi" w:hAnsiTheme="majorHAnsi" w:cstheme="majorHAnsi"/>
          <w:snapToGrid w:val="0"/>
          <w:szCs w:val="22"/>
          <w:lang w:val="en-GB"/>
        </w:rPr>
        <w:t>would be applied</w:t>
      </w:r>
      <w:r w:rsidRPr="00925091">
        <w:rPr>
          <w:rFonts w:asciiTheme="majorHAnsi" w:hAnsiTheme="majorHAnsi" w:cstheme="majorHAnsi"/>
          <w:snapToGrid w:val="0"/>
          <w:szCs w:val="22"/>
          <w:lang w:val="en-GB"/>
        </w:rPr>
        <w:t>.</w:t>
      </w:r>
    </w:p>
    <w:p w14:paraId="5C93FC42" w14:textId="27C523EA" w:rsidR="007B0AEA" w:rsidRPr="00925091" w:rsidRDefault="007B0AEA" w:rsidP="00550262">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Multiple exerc</w:t>
      </w:r>
      <w:r w:rsidR="00707BD1">
        <w:rPr>
          <w:rFonts w:asciiTheme="majorHAnsi" w:hAnsiTheme="majorHAnsi" w:cstheme="majorHAnsi"/>
          <w:snapToGrid w:val="0"/>
          <w:szCs w:val="22"/>
          <w:lang w:val="en-GB"/>
        </w:rPr>
        <w:t>i</w:t>
      </w:r>
      <w:r w:rsidR="009144EA">
        <w:rPr>
          <w:rFonts w:asciiTheme="majorHAnsi" w:hAnsiTheme="majorHAnsi" w:cstheme="majorHAnsi"/>
          <w:snapToGrid w:val="0"/>
          <w:szCs w:val="22"/>
          <w:lang w:val="en-GB"/>
        </w:rPr>
        <w:t>s</w:t>
      </w:r>
      <w:r w:rsidR="00707BD1">
        <w:rPr>
          <w:rFonts w:asciiTheme="majorHAnsi" w:hAnsiTheme="majorHAnsi" w:cstheme="majorHAnsi"/>
          <w:snapToGrid w:val="0"/>
          <w:szCs w:val="22"/>
          <w:lang w:val="en-GB"/>
        </w:rPr>
        <w:t>e</w:t>
      </w:r>
      <w:r w:rsidRPr="00925091">
        <w:rPr>
          <w:rFonts w:asciiTheme="majorHAnsi" w:hAnsiTheme="majorHAnsi" w:cstheme="majorHAnsi"/>
          <w:snapToGrid w:val="0"/>
          <w:szCs w:val="22"/>
          <w:lang w:val="en-GB"/>
        </w:rPr>
        <w:t xml:space="preserve">s were carried out to determine the sample size using estimates from the 2014 Serbia MICS, including the following: </w:t>
      </w:r>
      <w:r w:rsidR="009144EA">
        <w:rPr>
          <w:rFonts w:asciiTheme="majorHAnsi" w:hAnsiTheme="majorHAnsi" w:cstheme="majorHAnsi"/>
          <w:snapToGrid w:val="0"/>
          <w:szCs w:val="22"/>
          <w:lang w:val="en-GB"/>
        </w:rPr>
        <w:t>‘</w:t>
      </w:r>
      <w:r w:rsidRPr="00925091">
        <w:rPr>
          <w:rFonts w:asciiTheme="majorHAnsi" w:hAnsiTheme="majorHAnsi" w:cstheme="majorHAnsi"/>
          <w:snapToGrid w:val="0"/>
          <w:szCs w:val="22"/>
          <w:lang w:val="en-GB"/>
        </w:rPr>
        <w:t xml:space="preserve">Overweight prevalence’ for children under </w:t>
      </w:r>
      <w:r w:rsidR="009144EA">
        <w:rPr>
          <w:rFonts w:asciiTheme="majorHAnsi" w:hAnsiTheme="majorHAnsi" w:cstheme="majorHAnsi"/>
          <w:snapToGrid w:val="0"/>
          <w:szCs w:val="22"/>
          <w:lang w:val="en-GB"/>
        </w:rPr>
        <w:t>five</w:t>
      </w:r>
      <w:r w:rsidRPr="00925091">
        <w:rPr>
          <w:rFonts w:asciiTheme="majorHAnsi" w:hAnsiTheme="majorHAnsi" w:cstheme="majorHAnsi"/>
          <w:snapToGrid w:val="0"/>
          <w:szCs w:val="22"/>
          <w:lang w:val="en-GB"/>
        </w:rPr>
        <w:t xml:space="preserve">, with a 2014 Serbia MICS estimate of 14 percent and 15 percent RME for the country, the calculated sample size was 16,900 households; </w:t>
      </w:r>
      <w:r w:rsidR="009144EA">
        <w:rPr>
          <w:rFonts w:asciiTheme="majorHAnsi" w:hAnsiTheme="majorHAnsi" w:cstheme="majorHAnsi"/>
          <w:snapToGrid w:val="0"/>
          <w:szCs w:val="22"/>
          <w:lang w:val="en-GB"/>
        </w:rPr>
        <w:t>‘</w:t>
      </w:r>
      <w:r w:rsidRPr="00925091">
        <w:rPr>
          <w:rFonts w:asciiTheme="majorHAnsi" w:hAnsiTheme="majorHAnsi" w:cstheme="majorHAnsi"/>
          <w:snapToGrid w:val="0"/>
          <w:szCs w:val="22"/>
          <w:lang w:val="en-GB"/>
        </w:rPr>
        <w:t xml:space="preserve">Unmet </w:t>
      </w:r>
      <w:r w:rsidR="009144EA" w:rsidRPr="00925091">
        <w:rPr>
          <w:rFonts w:asciiTheme="majorHAnsi" w:hAnsiTheme="majorHAnsi" w:cstheme="majorHAnsi"/>
          <w:snapToGrid w:val="0"/>
          <w:szCs w:val="22"/>
          <w:lang w:val="en-GB"/>
        </w:rPr>
        <w:t>need</w:t>
      </w:r>
      <w:r w:rsidR="009144EA">
        <w:rPr>
          <w:rFonts w:asciiTheme="majorHAnsi" w:hAnsiTheme="majorHAnsi" w:cstheme="majorHAnsi"/>
          <w:snapToGrid w:val="0"/>
          <w:szCs w:val="22"/>
          <w:lang w:val="en-GB"/>
        </w:rPr>
        <w:t>’</w:t>
      </w:r>
      <w:r w:rsidR="009144EA" w:rsidRPr="00925091">
        <w:rPr>
          <w:rFonts w:asciiTheme="majorHAnsi" w:hAnsiTheme="majorHAnsi" w:cstheme="majorHAnsi"/>
          <w:snapToGrid w:val="0"/>
          <w:szCs w:val="22"/>
          <w:lang w:val="en-GB"/>
        </w:rPr>
        <w:t xml:space="preserve"> </w:t>
      </w:r>
      <w:r w:rsidRPr="00925091">
        <w:rPr>
          <w:rFonts w:asciiTheme="majorHAnsi" w:hAnsiTheme="majorHAnsi" w:cstheme="majorHAnsi"/>
          <w:snapToGrid w:val="0"/>
          <w:szCs w:val="22"/>
          <w:lang w:val="en-GB"/>
        </w:rPr>
        <w:t xml:space="preserve">for </w:t>
      </w:r>
      <w:r w:rsidR="000E7C5F">
        <w:rPr>
          <w:rFonts w:asciiTheme="majorHAnsi" w:hAnsiTheme="majorHAnsi" w:cstheme="majorHAnsi"/>
          <w:snapToGrid w:val="0"/>
          <w:szCs w:val="22"/>
          <w:lang w:val="en-GB"/>
        </w:rPr>
        <w:t xml:space="preserve">women </w:t>
      </w:r>
      <w:r w:rsidR="0078498B">
        <w:rPr>
          <w:rFonts w:asciiTheme="majorHAnsi" w:hAnsiTheme="majorHAnsi" w:cstheme="majorHAnsi"/>
          <w:snapToGrid w:val="0"/>
          <w:szCs w:val="22"/>
          <w:lang w:val="en-GB"/>
        </w:rPr>
        <w:t>aged</w:t>
      </w:r>
      <w:r w:rsidRPr="00925091">
        <w:rPr>
          <w:rFonts w:asciiTheme="majorHAnsi" w:hAnsiTheme="majorHAnsi" w:cstheme="majorHAnsi"/>
          <w:snapToGrid w:val="0"/>
          <w:szCs w:val="22"/>
          <w:lang w:val="en-GB"/>
        </w:rPr>
        <w:t xml:space="preserve"> 1</w:t>
      </w:r>
      <w:r w:rsidR="00B028AA" w:rsidRPr="00925091">
        <w:rPr>
          <w:rFonts w:asciiTheme="majorHAnsi" w:hAnsiTheme="majorHAnsi" w:cstheme="majorHAnsi"/>
          <w:snapToGrid w:val="0"/>
          <w:szCs w:val="22"/>
          <w:lang w:val="en-GB"/>
        </w:rPr>
        <w:t>5–4</w:t>
      </w:r>
      <w:r w:rsidRPr="00925091">
        <w:rPr>
          <w:rFonts w:asciiTheme="majorHAnsi" w:hAnsiTheme="majorHAnsi" w:cstheme="majorHAnsi"/>
          <w:snapToGrid w:val="0"/>
          <w:szCs w:val="22"/>
          <w:lang w:val="en-GB"/>
        </w:rPr>
        <w:t xml:space="preserve">9 years, with a 2014 MICS estimate of 14.9 percent and 15 percent RME for the country, the calculated sample size was 8,373 households; and </w:t>
      </w:r>
      <w:r w:rsidR="009144EA">
        <w:rPr>
          <w:rFonts w:asciiTheme="majorHAnsi" w:hAnsiTheme="majorHAnsi" w:cstheme="majorHAnsi"/>
          <w:snapToGrid w:val="0"/>
          <w:szCs w:val="22"/>
          <w:lang w:val="en-GB"/>
        </w:rPr>
        <w:t>‘</w:t>
      </w:r>
      <w:r w:rsidRPr="00925091">
        <w:rPr>
          <w:rFonts w:asciiTheme="majorHAnsi" w:hAnsiTheme="majorHAnsi" w:cstheme="majorHAnsi"/>
          <w:snapToGrid w:val="0"/>
          <w:szCs w:val="22"/>
          <w:lang w:val="en-GB"/>
        </w:rPr>
        <w:t xml:space="preserve">Contraceptive prevalence </w:t>
      </w:r>
      <w:r w:rsidR="009144EA" w:rsidRPr="00925091">
        <w:rPr>
          <w:rFonts w:asciiTheme="majorHAnsi" w:hAnsiTheme="majorHAnsi" w:cstheme="majorHAnsi"/>
          <w:snapToGrid w:val="0"/>
          <w:szCs w:val="22"/>
          <w:lang w:val="en-GB"/>
        </w:rPr>
        <w:t>rate</w:t>
      </w:r>
      <w:r w:rsidR="009144EA">
        <w:rPr>
          <w:rFonts w:asciiTheme="majorHAnsi" w:hAnsiTheme="majorHAnsi" w:cstheme="majorHAnsi"/>
          <w:snapToGrid w:val="0"/>
          <w:szCs w:val="22"/>
          <w:lang w:val="en-GB"/>
        </w:rPr>
        <w:t>’</w:t>
      </w:r>
      <w:r w:rsidR="009144EA" w:rsidRPr="00925091">
        <w:rPr>
          <w:rFonts w:asciiTheme="majorHAnsi" w:hAnsiTheme="majorHAnsi" w:cstheme="majorHAnsi"/>
          <w:snapToGrid w:val="0"/>
          <w:szCs w:val="22"/>
          <w:lang w:val="en-GB"/>
        </w:rPr>
        <w:t xml:space="preserve"> </w:t>
      </w:r>
      <w:r w:rsidRPr="00925091">
        <w:rPr>
          <w:rFonts w:asciiTheme="majorHAnsi" w:hAnsiTheme="majorHAnsi" w:cstheme="majorHAnsi"/>
          <w:snapToGrid w:val="0"/>
          <w:szCs w:val="22"/>
          <w:lang w:val="en-GB"/>
        </w:rPr>
        <w:t xml:space="preserve">for </w:t>
      </w:r>
      <w:r w:rsidR="000E7C5F">
        <w:rPr>
          <w:rFonts w:asciiTheme="majorHAnsi" w:hAnsiTheme="majorHAnsi" w:cstheme="majorHAnsi"/>
          <w:snapToGrid w:val="0"/>
          <w:szCs w:val="22"/>
          <w:lang w:val="en-GB"/>
        </w:rPr>
        <w:t xml:space="preserve">women </w:t>
      </w:r>
      <w:r w:rsidR="0078498B">
        <w:rPr>
          <w:rFonts w:asciiTheme="majorHAnsi" w:hAnsiTheme="majorHAnsi" w:cstheme="majorHAnsi"/>
          <w:snapToGrid w:val="0"/>
          <w:szCs w:val="22"/>
          <w:lang w:val="en-GB"/>
        </w:rPr>
        <w:t>aged</w:t>
      </w:r>
      <w:r w:rsidRPr="00925091">
        <w:rPr>
          <w:rFonts w:asciiTheme="majorHAnsi" w:hAnsiTheme="majorHAnsi" w:cstheme="majorHAnsi"/>
          <w:snapToGrid w:val="0"/>
          <w:szCs w:val="22"/>
          <w:lang w:val="en-GB"/>
        </w:rPr>
        <w:t xml:space="preserve"> 1</w:t>
      </w:r>
      <w:r w:rsidR="00B028AA" w:rsidRPr="00925091">
        <w:rPr>
          <w:rFonts w:asciiTheme="majorHAnsi" w:hAnsiTheme="majorHAnsi" w:cstheme="majorHAnsi"/>
          <w:snapToGrid w:val="0"/>
          <w:szCs w:val="22"/>
          <w:lang w:val="en-GB"/>
        </w:rPr>
        <w:t>5–4</w:t>
      </w:r>
      <w:r w:rsidRPr="00925091">
        <w:rPr>
          <w:rFonts w:asciiTheme="majorHAnsi" w:hAnsiTheme="majorHAnsi" w:cstheme="majorHAnsi"/>
          <w:snapToGrid w:val="0"/>
          <w:szCs w:val="22"/>
          <w:lang w:val="en-GB"/>
        </w:rPr>
        <w:t xml:space="preserve">9 years, with a 2014 Serbia MICS estimate of 58 percent and 5 percent RME per region, the calculated sample size was 7,908 households. </w:t>
      </w:r>
    </w:p>
    <w:p w14:paraId="34414CD0" w14:textId="6D126045" w:rsidR="007B0AEA" w:rsidRPr="00925091" w:rsidRDefault="007B0AEA"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 xml:space="preserve">Regional level sample size estimates were also calculated for regions of Serbia using the indicators: </w:t>
      </w:r>
      <w:r w:rsidR="009144EA">
        <w:rPr>
          <w:rFonts w:asciiTheme="majorHAnsi" w:hAnsiTheme="majorHAnsi" w:cstheme="majorHAnsi"/>
          <w:snapToGrid w:val="0"/>
          <w:szCs w:val="22"/>
          <w:lang w:val="en-GB"/>
        </w:rPr>
        <w:t>‘</w:t>
      </w:r>
      <w:r w:rsidRPr="00925091">
        <w:rPr>
          <w:rFonts w:asciiTheme="majorHAnsi" w:hAnsiTheme="majorHAnsi" w:cstheme="majorHAnsi"/>
          <w:snapToGrid w:val="0"/>
          <w:szCs w:val="22"/>
          <w:lang w:val="en-GB"/>
        </w:rPr>
        <w:t xml:space="preserve">Overweight prevalence’ with calculated overall sample size of 96,687 households for Serbia and 15 percent RME per region; </w:t>
      </w:r>
      <w:r w:rsidR="009144EA">
        <w:rPr>
          <w:rFonts w:asciiTheme="majorHAnsi" w:hAnsiTheme="majorHAnsi" w:cstheme="majorHAnsi"/>
          <w:snapToGrid w:val="0"/>
          <w:szCs w:val="22"/>
          <w:lang w:val="en-GB"/>
        </w:rPr>
        <w:t>‘</w:t>
      </w:r>
      <w:r w:rsidRPr="00925091">
        <w:rPr>
          <w:rFonts w:asciiTheme="majorHAnsi" w:hAnsiTheme="majorHAnsi" w:cstheme="majorHAnsi"/>
          <w:snapToGrid w:val="0"/>
          <w:szCs w:val="22"/>
          <w:lang w:val="en-GB"/>
        </w:rPr>
        <w:t xml:space="preserve">Unmet </w:t>
      </w:r>
      <w:r w:rsidR="009144EA" w:rsidRPr="00925091">
        <w:rPr>
          <w:rFonts w:asciiTheme="majorHAnsi" w:hAnsiTheme="majorHAnsi" w:cstheme="majorHAnsi"/>
          <w:snapToGrid w:val="0"/>
          <w:szCs w:val="22"/>
          <w:lang w:val="en-GB"/>
        </w:rPr>
        <w:t>need</w:t>
      </w:r>
      <w:r w:rsidR="009144EA">
        <w:rPr>
          <w:rFonts w:asciiTheme="majorHAnsi" w:hAnsiTheme="majorHAnsi" w:cstheme="majorHAnsi"/>
          <w:snapToGrid w:val="0"/>
          <w:szCs w:val="22"/>
          <w:lang w:val="en-GB"/>
        </w:rPr>
        <w:t>’</w:t>
      </w:r>
      <w:r w:rsidR="009144EA" w:rsidRPr="00925091">
        <w:rPr>
          <w:rFonts w:asciiTheme="majorHAnsi" w:hAnsiTheme="majorHAnsi" w:cstheme="majorHAnsi"/>
          <w:snapToGrid w:val="0"/>
          <w:szCs w:val="22"/>
          <w:lang w:val="en-GB"/>
        </w:rPr>
        <w:t xml:space="preserve">’ </w:t>
      </w:r>
      <w:r w:rsidRPr="00925091">
        <w:rPr>
          <w:rFonts w:asciiTheme="majorHAnsi" w:hAnsiTheme="majorHAnsi" w:cstheme="majorHAnsi"/>
          <w:snapToGrid w:val="0"/>
          <w:szCs w:val="22"/>
          <w:lang w:val="en-GB"/>
        </w:rPr>
        <w:t xml:space="preserve">with a calculated overall sample size of 20,886 households for Serbia and 15 percent RME per region; </w:t>
      </w:r>
      <w:r w:rsidR="009144EA">
        <w:rPr>
          <w:rFonts w:asciiTheme="majorHAnsi" w:hAnsiTheme="majorHAnsi" w:cstheme="majorHAnsi"/>
          <w:snapToGrid w:val="0"/>
          <w:szCs w:val="22"/>
          <w:lang w:val="en-GB"/>
        </w:rPr>
        <w:t>‘</w:t>
      </w:r>
      <w:r w:rsidRPr="00925091">
        <w:rPr>
          <w:rFonts w:asciiTheme="majorHAnsi" w:hAnsiTheme="majorHAnsi" w:cstheme="majorHAnsi"/>
          <w:snapToGrid w:val="0"/>
          <w:szCs w:val="22"/>
          <w:lang w:val="en-GB"/>
        </w:rPr>
        <w:t xml:space="preserve">Contraceptive prevalence </w:t>
      </w:r>
      <w:r w:rsidR="009144EA" w:rsidRPr="00925091">
        <w:rPr>
          <w:rFonts w:asciiTheme="majorHAnsi" w:hAnsiTheme="majorHAnsi" w:cstheme="majorHAnsi"/>
          <w:snapToGrid w:val="0"/>
          <w:szCs w:val="22"/>
          <w:lang w:val="en-GB"/>
        </w:rPr>
        <w:t>rate</w:t>
      </w:r>
      <w:r w:rsidR="009144EA">
        <w:rPr>
          <w:rFonts w:asciiTheme="majorHAnsi" w:hAnsiTheme="majorHAnsi" w:cstheme="majorHAnsi"/>
          <w:snapToGrid w:val="0"/>
          <w:szCs w:val="22"/>
          <w:lang w:val="en-GB"/>
        </w:rPr>
        <w:t>’</w:t>
      </w:r>
      <w:r w:rsidR="009144EA" w:rsidRPr="00925091">
        <w:rPr>
          <w:rFonts w:asciiTheme="majorHAnsi" w:hAnsiTheme="majorHAnsi" w:cstheme="majorHAnsi"/>
          <w:snapToGrid w:val="0"/>
          <w:szCs w:val="22"/>
          <w:lang w:val="en-GB"/>
        </w:rPr>
        <w:t xml:space="preserve"> </w:t>
      </w:r>
      <w:r w:rsidRPr="00925091">
        <w:rPr>
          <w:rFonts w:asciiTheme="majorHAnsi" w:hAnsiTheme="majorHAnsi" w:cstheme="majorHAnsi"/>
          <w:snapToGrid w:val="0"/>
          <w:szCs w:val="22"/>
          <w:lang w:val="en-GB"/>
        </w:rPr>
        <w:t>with an overall sample size of 8,000 households for Serbia and 7 percent to 15 percent RME per region.</w:t>
      </w:r>
    </w:p>
    <w:p w14:paraId="482CA36D" w14:textId="3E071AE4" w:rsidR="007B0AEA" w:rsidRPr="00925091" w:rsidRDefault="007B0AEA"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 xml:space="preserve">Based on the review of the MICS5 results, the calculation of the required sample size for various indicators, the sufficient number of observations for the basic sub-populations, and considering also aspects related to quality control and availability of resources, it was calculated to have a minimum sample size of 1,900 households for </w:t>
      </w:r>
      <w:r w:rsidRPr="00925091">
        <w:rPr>
          <w:rFonts w:asciiTheme="majorHAnsi" w:hAnsiTheme="majorHAnsi" w:cstheme="majorHAnsi"/>
          <w:snapToGrid w:val="0"/>
          <w:szCs w:val="22"/>
          <w:lang w:val="en-GB"/>
        </w:rPr>
        <w:lastRenderedPageBreak/>
        <w:t>Sumadija and Western Serbia region and a maximum sample size of 2,140 households for the Belgrade region</w:t>
      </w:r>
      <w:r w:rsidR="000A02EE" w:rsidRPr="00925091">
        <w:rPr>
          <w:rFonts w:asciiTheme="majorHAnsi" w:hAnsiTheme="majorHAnsi" w:cstheme="majorHAnsi"/>
          <w:snapToGrid w:val="0"/>
          <w:szCs w:val="22"/>
          <w:lang w:val="en-GB"/>
        </w:rPr>
        <w:t xml:space="preserve"> with a total sample size of 8000 households</w:t>
      </w:r>
      <w:r w:rsidRPr="00925091">
        <w:rPr>
          <w:rFonts w:asciiTheme="majorHAnsi" w:hAnsiTheme="majorHAnsi" w:cstheme="majorHAnsi"/>
          <w:snapToGrid w:val="0"/>
          <w:szCs w:val="22"/>
          <w:lang w:val="en-GB"/>
        </w:rPr>
        <w:t>.</w:t>
      </w:r>
    </w:p>
    <w:p w14:paraId="7B01B591" w14:textId="75042270" w:rsidR="000A02EE" w:rsidRPr="00925091" w:rsidRDefault="000A02EE"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 xml:space="preserve">The final number of households in each category in the overall sample and per cluster was determined based on the number of households with children under </w:t>
      </w:r>
      <w:r w:rsidR="009144EA">
        <w:rPr>
          <w:rFonts w:asciiTheme="majorHAnsi" w:hAnsiTheme="majorHAnsi" w:cstheme="majorHAnsi"/>
          <w:snapToGrid w:val="0"/>
          <w:szCs w:val="22"/>
          <w:lang w:val="en-GB"/>
        </w:rPr>
        <w:t>five</w:t>
      </w:r>
      <w:r w:rsidRPr="00925091">
        <w:rPr>
          <w:rFonts w:asciiTheme="majorHAnsi" w:hAnsiTheme="majorHAnsi" w:cstheme="majorHAnsi"/>
          <w:snapToGrid w:val="0"/>
          <w:szCs w:val="22"/>
          <w:lang w:val="en-GB"/>
        </w:rPr>
        <w:t xml:space="preserve"> found in the listing for each enumeration area.</w:t>
      </w:r>
    </w:p>
    <w:p w14:paraId="10DFF68A" w14:textId="4C472985" w:rsidR="000A02EE" w:rsidRPr="00925091" w:rsidRDefault="000A02EE"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The number of households selected per cluster for the 2019 Serbia MICS was determined as 20 households, based on several considerations, including the design effect, the budget available, and the time that would be needed per team to complete one cluster. Dividing the total number of households by the number of sample households per cluster, it was calculated that 400 sample clusters needed to be selected.</w:t>
      </w:r>
    </w:p>
    <w:p w14:paraId="092D2204" w14:textId="77777777" w:rsidR="000A02EE" w:rsidRPr="00925091" w:rsidRDefault="000A02EE"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Within each region, the sample EAs were allocated proportionately to the urban and other domains based on the number of households in each domain. Table SD.2 shows the allocation of clusters and households to the sampling strata.</w:t>
      </w:r>
    </w:p>
    <w:tbl>
      <w:tblPr>
        <w:tblW w:w="0" w:type="auto"/>
        <w:jc w:val="center"/>
        <w:tblLook w:val="01E0" w:firstRow="1" w:lastRow="1" w:firstColumn="1" w:lastColumn="1" w:noHBand="0" w:noVBand="0"/>
      </w:tblPr>
      <w:tblGrid>
        <w:gridCol w:w="2720"/>
        <w:gridCol w:w="636"/>
        <w:gridCol w:w="727"/>
        <w:gridCol w:w="698"/>
        <w:gridCol w:w="243"/>
        <w:gridCol w:w="685"/>
        <w:gridCol w:w="727"/>
        <w:gridCol w:w="698"/>
      </w:tblGrid>
      <w:tr w:rsidR="007B0AEA" w:rsidRPr="00925091" w14:paraId="3D0B3BC0" w14:textId="77777777" w:rsidTr="007B0AEA">
        <w:trPr>
          <w:cantSplit/>
          <w:trHeight w:val="288"/>
          <w:jc w:val="center"/>
        </w:trPr>
        <w:tc>
          <w:tcPr>
            <w:tcW w:w="0" w:type="auto"/>
            <w:gridSpan w:val="8"/>
            <w:tcBorders>
              <w:top w:val="single" w:sz="4" w:space="0" w:color="auto"/>
              <w:left w:val="single" w:sz="4" w:space="0" w:color="auto"/>
              <w:right w:val="single" w:sz="4" w:space="0" w:color="auto"/>
            </w:tcBorders>
            <w:shd w:val="clear" w:color="auto" w:fill="000000" w:themeFill="text1"/>
            <w:vAlign w:val="center"/>
          </w:tcPr>
          <w:p w14:paraId="52165016" w14:textId="77777777" w:rsidR="007B0AEA" w:rsidRPr="00925091" w:rsidRDefault="007B0AEA" w:rsidP="007B0AEA">
            <w:pPr>
              <w:pStyle w:val="Heading3"/>
              <w:rPr>
                <w:snapToGrid w:val="0"/>
              </w:rPr>
            </w:pPr>
            <w:bookmarkStart w:id="10" w:name="_Toc52987332"/>
            <w:r w:rsidRPr="00925091">
              <w:rPr>
                <w:snapToGrid w:val="0"/>
              </w:rPr>
              <w:t>Table SD.2: Sample allocation</w:t>
            </w:r>
            <w:bookmarkEnd w:id="10"/>
          </w:p>
        </w:tc>
      </w:tr>
      <w:tr w:rsidR="007B0AEA" w:rsidRPr="00925091" w14:paraId="6505BF79" w14:textId="77777777" w:rsidTr="007B0AEA">
        <w:trPr>
          <w:cantSplit/>
          <w:trHeight w:val="288"/>
          <w:jc w:val="center"/>
        </w:trPr>
        <w:tc>
          <w:tcPr>
            <w:tcW w:w="0" w:type="auto"/>
            <w:gridSpan w:val="8"/>
            <w:tcBorders>
              <w:top w:val="single" w:sz="4" w:space="0" w:color="auto"/>
              <w:left w:val="single" w:sz="4" w:space="0" w:color="auto"/>
              <w:right w:val="single" w:sz="4" w:space="0" w:color="auto"/>
            </w:tcBorders>
            <w:shd w:val="clear" w:color="auto" w:fill="auto"/>
            <w:vAlign w:val="center"/>
          </w:tcPr>
          <w:p w14:paraId="730013D5" w14:textId="77777777" w:rsidR="007B0AEA" w:rsidRPr="00925091" w:rsidRDefault="007B0AEA" w:rsidP="007B0AEA">
            <w:pPr>
              <w:spacing w:before="0" w:after="0" w:line="269" w:lineRule="auto"/>
              <w:contextualSpacing/>
              <w:rPr>
                <w:rFonts w:asciiTheme="majorHAnsi" w:hAnsiTheme="majorHAnsi" w:cstheme="majorHAnsi"/>
                <w:snapToGrid w:val="0"/>
                <w:sz w:val="18"/>
                <w:szCs w:val="18"/>
                <w:lang w:val="en-GB"/>
              </w:rPr>
            </w:pPr>
            <w:r w:rsidRPr="00925091">
              <w:rPr>
                <w:rFonts w:asciiTheme="majorHAnsi" w:hAnsiTheme="majorHAnsi" w:cstheme="majorHAnsi"/>
                <w:snapToGrid w:val="0"/>
                <w:sz w:val="18"/>
                <w:szCs w:val="18"/>
                <w:lang w:val="en-GB"/>
              </w:rPr>
              <w:t>Allocation of sample clusters (EAs) and sample households to sampling strata, 2019 Serbia MICS</w:t>
            </w:r>
          </w:p>
        </w:tc>
      </w:tr>
      <w:tr w:rsidR="007B0AEA" w:rsidRPr="00925091" w14:paraId="02CEAFCF" w14:textId="77777777" w:rsidTr="007B0AEA">
        <w:trPr>
          <w:cantSplit/>
          <w:trHeight w:val="288"/>
          <w:jc w:val="center"/>
        </w:trPr>
        <w:tc>
          <w:tcPr>
            <w:tcW w:w="0" w:type="auto"/>
            <w:tcBorders>
              <w:top w:val="single" w:sz="4" w:space="0" w:color="auto"/>
              <w:left w:val="single" w:sz="4" w:space="0" w:color="auto"/>
            </w:tcBorders>
            <w:vAlign w:val="bottom"/>
          </w:tcPr>
          <w:p w14:paraId="288F70C8"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gridSpan w:val="3"/>
            <w:tcBorders>
              <w:top w:val="single" w:sz="4" w:space="0" w:color="auto"/>
              <w:bottom w:val="single" w:sz="4" w:space="0" w:color="auto"/>
            </w:tcBorders>
            <w:vAlign w:val="bottom"/>
          </w:tcPr>
          <w:p w14:paraId="21E66ABF" w14:textId="77777777" w:rsidR="007B0AEA" w:rsidRPr="00925091" w:rsidRDefault="007B0AEA" w:rsidP="007B0AEA">
            <w:pPr>
              <w:spacing w:before="0" w:after="0" w:line="269" w:lineRule="auto"/>
              <w:contextualSpacing/>
              <w:jc w:val="center"/>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Sample Clusters</w:t>
            </w:r>
          </w:p>
        </w:tc>
        <w:tc>
          <w:tcPr>
            <w:tcW w:w="0" w:type="auto"/>
            <w:tcBorders>
              <w:top w:val="single" w:sz="4" w:space="0" w:color="auto"/>
            </w:tcBorders>
            <w:vAlign w:val="bottom"/>
          </w:tcPr>
          <w:p w14:paraId="1F99DCCF"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gridSpan w:val="3"/>
            <w:tcBorders>
              <w:top w:val="single" w:sz="4" w:space="0" w:color="auto"/>
              <w:bottom w:val="single" w:sz="4" w:space="0" w:color="auto"/>
              <w:right w:val="single" w:sz="4" w:space="0" w:color="auto"/>
            </w:tcBorders>
            <w:vAlign w:val="bottom"/>
          </w:tcPr>
          <w:p w14:paraId="6CB8A63F" w14:textId="77777777" w:rsidR="007B0AEA" w:rsidRPr="00925091" w:rsidRDefault="007B0AEA" w:rsidP="007B0AEA">
            <w:pPr>
              <w:spacing w:before="0" w:after="0" w:line="269" w:lineRule="auto"/>
              <w:contextualSpacing/>
              <w:jc w:val="center"/>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Sample Households</w:t>
            </w:r>
          </w:p>
        </w:tc>
      </w:tr>
      <w:tr w:rsidR="007B0AEA" w:rsidRPr="00925091" w14:paraId="1A754F8C" w14:textId="77777777" w:rsidTr="007B0AEA">
        <w:trPr>
          <w:cantSplit/>
          <w:trHeight w:val="288"/>
          <w:jc w:val="center"/>
        </w:trPr>
        <w:tc>
          <w:tcPr>
            <w:tcW w:w="0" w:type="auto"/>
            <w:tcBorders>
              <w:left w:val="single" w:sz="4" w:space="0" w:color="auto"/>
              <w:bottom w:val="single" w:sz="4" w:space="0" w:color="auto"/>
            </w:tcBorders>
            <w:vAlign w:val="bottom"/>
          </w:tcPr>
          <w:p w14:paraId="4E3B417C"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bottom w:val="single" w:sz="4" w:space="0" w:color="auto"/>
            </w:tcBorders>
            <w:vAlign w:val="bottom"/>
          </w:tcPr>
          <w:p w14:paraId="524C0F1C"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Total</w:t>
            </w:r>
          </w:p>
        </w:tc>
        <w:tc>
          <w:tcPr>
            <w:tcW w:w="0" w:type="auto"/>
            <w:tcBorders>
              <w:top w:val="single" w:sz="4" w:space="0" w:color="auto"/>
              <w:bottom w:val="single" w:sz="4" w:space="0" w:color="auto"/>
            </w:tcBorders>
            <w:vAlign w:val="bottom"/>
          </w:tcPr>
          <w:p w14:paraId="4AEC8694"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Urban</w:t>
            </w:r>
          </w:p>
        </w:tc>
        <w:tc>
          <w:tcPr>
            <w:tcW w:w="0" w:type="auto"/>
            <w:tcBorders>
              <w:top w:val="single" w:sz="4" w:space="0" w:color="auto"/>
              <w:bottom w:val="single" w:sz="4" w:space="0" w:color="auto"/>
            </w:tcBorders>
            <w:vAlign w:val="bottom"/>
          </w:tcPr>
          <w:p w14:paraId="6EF3BAB2"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Other</w:t>
            </w:r>
          </w:p>
        </w:tc>
        <w:tc>
          <w:tcPr>
            <w:tcW w:w="0" w:type="auto"/>
            <w:tcBorders>
              <w:bottom w:val="single" w:sz="4" w:space="0" w:color="auto"/>
            </w:tcBorders>
            <w:vAlign w:val="bottom"/>
          </w:tcPr>
          <w:p w14:paraId="174E4430"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bottom w:val="single" w:sz="4" w:space="0" w:color="auto"/>
            </w:tcBorders>
            <w:vAlign w:val="bottom"/>
          </w:tcPr>
          <w:p w14:paraId="309AB34A"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Total</w:t>
            </w:r>
          </w:p>
        </w:tc>
        <w:tc>
          <w:tcPr>
            <w:tcW w:w="0" w:type="auto"/>
            <w:tcBorders>
              <w:top w:val="single" w:sz="4" w:space="0" w:color="auto"/>
              <w:bottom w:val="single" w:sz="4" w:space="0" w:color="auto"/>
            </w:tcBorders>
            <w:vAlign w:val="bottom"/>
          </w:tcPr>
          <w:p w14:paraId="39DCED28"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Urban</w:t>
            </w:r>
          </w:p>
        </w:tc>
        <w:tc>
          <w:tcPr>
            <w:tcW w:w="0" w:type="auto"/>
            <w:tcBorders>
              <w:top w:val="single" w:sz="4" w:space="0" w:color="auto"/>
              <w:bottom w:val="single" w:sz="4" w:space="0" w:color="auto"/>
              <w:right w:val="single" w:sz="4" w:space="0" w:color="auto"/>
            </w:tcBorders>
            <w:vAlign w:val="bottom"/>
          </w:tcPr>
          <w:p w14:paraId="6B82F81D"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Other</w:t>
            </w:r>
          </w:p>
        </w:tc>
      </w:tr>
      <w:tr w:rsidR="007B0AEA" w:rsidRPr="00925091" w14:paraId="1E779624" w14:textId="77777777" w:rsidTr="007B0AEA">
        <w:trPr>
          <w:cantSplit/>
          <w:trHeight w:val="288"/>
          <w:jc w:val="center"/>
        </w:trPr>
        <w:tc>
          <w:tcPr>
            <w:tcW w:w="0" w:type="auto"/>
            <w:tcBorders>
              <w:top w:val="single" w:sz="4" w:space="0" w:color="auto"/>
              <w:left w:val="single" w:sz="4" w:space="0" w:color="auto"/>
            </w:tcBorders>
            <w:vAlign w:val="center"/>
          </w:tcPr>
          <w:p w14:paraId="21796DA0" w14:textId="77777777" w:rsidR="007B0AEA" w:rsidRPr="00925091" w:rsidRDefault="007B0AEA" w:rsidP="007B0AEA">
            <w:pPr>
              <w:spacing w:before="0" w:after="0" w:line="269" w:lineRule="auto"/>
              <w:contextualSpacing/>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4A6F5CB4"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2D444D78"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305CB389"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6F60586C"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5E2D1647"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02BC8321"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right w:val="single" w:sz="4" w:space="0" w:color="auto"/>
            </w:tcBorders>
            <w:vAlign w:val="center"/>
          </w:tcPr>
          <w:p w14:paraId="14FF3A98" w14:textId="77777777" w:rsidR="007B0AEA" w:rsidRPr="00925091" w:rsidRDefault="007B0AEA" w:rsidP="007B0AEA">
            <w:pPr>
              <w:spacing w:before="0" w:after="0" w:line="269" w:lineRule="auto"/>
              <w:contextualSpacing/>
              <w:jc w:val="center"/>
              <w:rPr>
                <w:rFonts w:asciiTheme="majorHAnsi" w:hAnsiTheme="majorHAnsi" w:cstheme="majorHAnsi"/>
                <w:snapToGrid w:val="0"/>
                <w:sz w:val="18"/>
                <w:szCs w:val="18"/>
                <w:lang w:val="en-GB" w:eastAsia="en-GB"/>
              </w:rPr>
            </w:pPr>
          </w:p>
        </w:tc>
      </w:tr>
      <w:tr w:rsidR="007B0AEA" w:rsidRPr="00925091" w14:paraId="1021FF2A" w14:textId="77777777" w:rsidTr="007B0AEA">
        <w:trPr>
          <w:cantSplit/>
          <w:trHeight w:val="288"/>
          <w:jc w:val="center"/>
        </w:trPr>
        <w:tc>
          <w:tcPr>
            <w:tcW w:w="0" w:type="auto"/>
            <w:tcBorders>
              <w:left w:val="single" w:sz="4" w:space="0" w:color="auto"/>
            </w:tcBorders>
            <w:vAlign w:val="center"/>
          </w:tcPr>
          <w:p w14:paraId="6CC7A10B" w14:textId="77777777" w:rsidR="007B0AEA" w:rsidRPr="00925091" w:rsidRDefault="007B0AEA" w:rsidP="007B0AEA">
            <w:pPr>
              <w:spacing w:before="0" w:after="0" w:line="269" w:lineRule="auto"/>
              <w:contextualSpacing/>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Total</w:t>
            </w:r>
          </w:p>
        </w:tc>
        <w:tc>
          <w:tcPr>
            <w:tcW w:w="0" w:type="auto"/>
            <w:vAlign w:val="center"/>
          </w:tcPr>
          <w:p w14:paraId="417A0527" w14:textId="77777777" w:rsidR="007B0AEA" w:rsidRPr="00925091" w:rsidRDefault="007B0AEA" w:rsidP="007B0AEA">
            <w:pPr>
              <w:spacing w:before="0" w:after="0" w:line="269" w:lineRule="auto"/>
              <w:contextualSpacing/>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400</w:t>
            </w:r>
          </w:p>
        </w:tc>
        <w:tc>
          <w:tcPr>
            <w:tcW w:w="0" w:type="auto"/>
            <w:vAlign w:val="center"/>
          </w:tcPr>
          <w:p w14:paraId="01248136" w14:textId="77777777" w:rsidR="007B0AEA" w:rsidRPr="00925091" w:rsidRDefault="007B0AEA" w:rsidP="007B0AEA">
            <w:pPr>
              <w:spacing w:before="0" w:after="0" w:line="269" w:lineRule="auto"/>
              <w:contextualSpacing/>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250</w:t>
            </w:r>
          </w:p>
        </w:tc>
        <w:tc>
          <w:tcPr>
            <w:tcW w:w="0" w:type="auto"/>
            <w:vAlign w:val="center"/>
          </w:tcPr>
          <w:p w14:paraId="707DB880" w14:textId="77777777" w:rsidR="007B0AEA" w:rsidRPr="00925091" w:rsidRDefault="007B0AEA" w:rsidP="007B0AEA">
            <w:pPr>
              <w:spacing w:before="0" w:after="0" w:line="269" w:lineRule="auto"/>
              <w:contextualSpacing/>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150</w:t>
            </w:r>
          </w:p>
        </w:tc>
        <w:tc>
          <w:tcPr>
            <w:tcW w:w="0" w:type="auto"/>
            <w:vAlign w:val="center"/>
          </w:tcPr>
          <w:p w14:paraId="221BF612" w14:textId="77777777" w:rsidR="007B0AEA" w:rsidRPr="00925091" w:rsidRDefault="007B0AEA" w:rsidP="007B0AEA">
            <w:pPr>
              <w:spacing w:before="0" w:after="0" w:line="269" w:lineRule="auto"/>
              <w:contextualSpacing/>
              <w:jc w:val="right"/>
              <w:rPr>
                <w:rFonts w:asciiTheme="majorHAnsi" w:hAnsiTheme="majorHAnsi" w:cstheme="majorHAnsi"/>
                <w:b/>
                <w:sz w:val="18"/>
                <w:szCs w:val="18"/>
                <w:lang w:val="en-GB" w:eastAsia="en-GB"/>
              </w:rPr>
            </w:pPr>
          </w:p>
        </w:tc>
        <w:tc>
          <w:tcPr>
            <w:tcW w:w="0" w:type="auto"/>
            <w:vAlign w:val="center"/>
          </w:tcPr>
          <w:p w14:paraId="25BBE163" w14:textId="4D1B59ED" w:rsidR="007B0AEA" w:rsidRPr="00925091" w:rsidRDefault="007B0AEA" w:rsidP="007B0AEA">
            <w:pPr>
              <w:spacing w:before="0" w:after="0" w:line="269" w:lineRule="auto"/>
              <w:contextualSpacing/>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8,000</w:t>
            </w:r>
          </w:p>
        </w:tc>
        <w:tc>
          <w:tcPr>
            <w:tcW w:w="0" w:type="auto"/>
            <w:vAlign w:val="center"/>
          </w:tcPr>
          <w:p w14:paraId="33C26C6E" w14:textId="5194FB3E" w:rsidR="007B0AEA" w:rsidRPr="00925091" w:rsidRDefault="007B0AEA" w:rsidP="007B0AEA">
            <w:pPr>
              <w:spacing w:before="0" w:after="0" w:line="269" w:lineRule="auto"/>
              <w:contextualSpacing/>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5,000</w:t>
            </w:r>
          </w:p>
        </w:tc>
        <w:tc>
          <w:tcPr>
            <w:tcW w:w="0" w:type="auto"/>
            <w:tcBorders>
              <w:right w:val="single" w:sz="4" w:space="0" w:color="auto"/>
            </w:tcBorders>
            <w:vAlign w:val="center"/>
          </w:tcPr>
          <w:p w14:paraId="44C68D28" w14:textId="5B77541C" w:rsidR="007B0AEA" w:rsidRPr="00925091" w:rsidRDefault="007B0AEA" w:rsidP="007B0AEA">
            <w:pPr>
              <w:spacing w:before="0" w:after="0" w:line="269" w:lineRule="auto"/>
              <w:contextualSpacing/>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3,000</w:t>
            </w:r>
          </w:p>
        </w:tc>
      </w:tr>
      <w:tr w:rsidR="007B0AEA" w:rsidRPr="00925091" w14:paraId="05FDFD39" w14:textId="77777777" w:rsidTr="007B0AEA">
        <w:trPr>
          <w:cantSplit/>
          <w:trHeight w:val="288"/>
          <w:jc w:val="center"/>
        </w:trPr>
        <w:tc>
          <w:tcPr>
            <w:tcW w:w="0" w:type="auto"/>
            <w:tcBorders>
              <w:left w:val="single" w:sz="4" w:space="0" w:color="auto"/>
            </w:tcBorders>
            <w:vAlign w:val="center"/>
          </w:tcPr>
          <w:p w14:paraId="0346BA9D" w14:textId="77777777" w:rsidR="007B0AEA" w:rsidRPr="00925091" w:rsidRDefault="007B0AEA" w:rsidP="007B0AEA">
            <w:pPr>
              <w:spacing w:before="0" w:after="0" w:line="269" w:lineRule="auto"/>
              <w:contextualSpacing/>
              <w:rPr>
                <w:rFonts w:asciiTheme="majorHAnsi" w:hAnsiTheme="majorHAnsi" w:cstheme="majorHAnsi"/>
                <w:snapToGrid w:val="0"/>
                <w:sz w:val="18"/>
                <w:szCs w:val="18"/>
                <w:lang w:val="en-GB" w:eastAsia="en-GB"/>
              </w:rPr>
            </w:pPr>
          </w:p>
        </w:tc>
        <w:tc>
          <w:tcPr>
            <w:tcW w:w="0" w:type="auto"/>
            <w:vAlign w:val="center"/>
          </w:tcPr>
          <w:p w14:paraId="4B71D008" w14:textId="77777777" w:rsidR="007B0AEA" w:rsidRPr="00925091" w:rsidRDefault="007B0AEA" w:rsidP="007B0AEA">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6846A92F" w14:textId="77777777" w:rsidR="007B0AEA" w:rsidRPr="00925091" w:rsidRDefault="007B0AEA" w:rsidP="007B0AEA">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79D55E97" w14:textId="77777777" w:rsidR="007B0AEA" w:rsidRPr="00925091" w:rsidRDefault="007B0AEA" w:rsidP="007B0AEA">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099AC3FD" w14:textId="77777777" w:rsidR="007B0AEA" w:rsidRPr="00925091" w:rsidRDefault="007B0AEA" w:rsidP="007B0AEA">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115D8194" w14:textId="77777777" w:rsidR="007B0AEA" w:rsidRPr="00925091" w:rsidRDefault="007B0AEA" w:rsidP="007B0AEA">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4B40B4E0" w14:textId="77777777" w:rsidR="007B0AEA" w:rsidRPr="00925091" w:rsidRDefault="007B0AEA" w:rsidP="007B0AEA">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tcBorders>
              <w:right w:val="single" w:sz="4" w:space="0" w:color="auto"/>
            </w:tcBorders>
            <w:vAlign w:val="center"/>
          </w:tcPr>
          <w:p w14:paraId="0C67D25D" w14:textId="77777777" w:rsidR="007B0AEA" w:rsidRPr="00925091" w:rsidRDefault="007B0AEA" w:rsidP="007B0AEA">
            <w:pPr>
              <w:spacing w:before="0" w:after="0" w:line="269" w:lineRule="auto"/>
              <w:contextualSpacing/>
              <w:jc w:val="right"/>
              <w:rPr>
                <w:rFonts w:asciiTheme="majorHAnsi" w:hAnsiTheme="majorHAnsi" w:cstheme="majorHAnsi"/>
                <w:snapToGrid w:val="0"/>
                <w:sz w:val="18"/>
                <w:szCs w:val="18"/>
                <w:lang w:val="en-GB" w:eastAsia="en-GB"/>
              </w:rPr>
            </w:pPr>
          </w:p>
        </w:tc>
      </w:tr>
      <w:tr w:rsidR="007B0AEA" w:rsidRPr="00925091" w14:paraId="3B2697F6" w14:textId="77777777" w:rsidTr="007B0AEA">
        <w:trPr>
          <w:cantSplit/>
          <w:trHeight w:val="288"/>
          <w:jc w:val="center"/>
        </w:trPr>
        <w:tc>
          <w:tcPr>
            <w:tcW w:w="0" w:type="auto"/>
            <w:tcBorders>
              <w:left w:val="single" w:sz="4" w:space="0" w:color="auto"/>
            </w:tcBorders>
            <w:vAlign w:val="center"/>
          </w:tcPr>
          <w:p w14:paraId="7BE83976" w14:textId="77777777" w:rsidR="007B0AEA" w:rsidRPr="00925091" w:rsidRDefault="007B0AEA" w:rsidP="007B0AEA">
            <w:pPr>
              <w:spacing w:before="0" w:after="0" w:line="269" w:lineRule="auto"/>
              <w:contextualSpacing/>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Region</w:t>
            </w:r>
          </w:p>
        </w:tc>
        <w:tc>
          <w:tcPr>
            <w:tcW w:w="0" w:type="auto"/>
            <w:vAlign w:val="center"/>
          </w:tcPr>
          <w:p w14:paraId="16F16832" w14:textId="77777777" w:rsidR="007B0AEA" w:rsidRPr="00925091" w:rsidRDefault="007B0AEA" w:rsidP="007B0AEA">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4636F13F" w14:textId="77777777" w:rsidR="007B0AEA" w:rsidRPr="00925091" w:rsidRDefault="007B0AEA" w:rsidP="007B0AEA">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44D1E8BC" w14:textId="77777777" w:rsidR="007B0AEA" w:rsidRPr="00925091" w:rsidRDefault="007B0AEA" w:rsidP="007B0AEA">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43DA4EE3" w14:textId="77777777" w:rsidR="007B0AEA" w:rsidRPr="00925091" w:rsidRDefault="007B0AEA" w:rsidP="007B0AEA">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29112518" w14:textId="77777777" w:rsidR="007B0AEA" w:rsidRPr="00925091" w:rsidRDefault="007B0AEA" w:rsidP="007B0AEA">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11C8E044" w14:textId="77777777" w:rsidR="007B0AEA" w:rsidRPr="00925091" w:rsidRDefault="007B0AEA" w:rsidP="007B0AEA">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tcBorders>
              <w:right w:val="single" w:sz="4" w:space="0" w:color="auto"/>
            </w:tcBorders>
            <w:vAlign w:val="center"/>
          </w:tcPr>
          <w:p w14:paraId="62503C4F" w14:textId="77777777" w:rsidR="007B0AEA" w:rsidRPr="00925091" w:rsidRDefault="007B0AEA" w:rsidP="007B0AEA">
            <w:pPr>
              <w:spacing w:before="0" w:after="0" w:line="269" w:lineRule="auto"/>
              <w:contextualSpacing/>
              <w:jc w:val="right"/>
              <w:rPr>
                <w:rFonts w:asciiTheme="majorHAnsi" w:hAnsiTheme="majorHAnsi" w:cstheme="majorHAnsi"/>
                <w:snapToGrid w:val="0"/>
                <w:sz w:val="18"/>
                <w:szCs w:val="18"/>
                <w:lang w:val="en-GB" w:eastAsia="en-GB"/>
              </w:rPr>
            </w:pPr>
          </w:p>
        </w:tc>
      </w:tr>
      <w:tr w:rsidR="007B0AEA" w:rsidRPr="00925091" w14:paraId="3A53EFDF" w14:textId="77777777" w:rsidTr="007B0AEA">
        <w:trPr>
          <w:cantSplit/>
          <w:trHeight w:val="288"/>
          <w:jc w:val="center"/>
        </w:trPr>
        <w:tc>
          <w:tcPr>
            <w:tcW w:w="0" w:type="auto"/>
            <w:tcBorders>
              <w:left w:val="single" w:sz="4" w:space="0" w:color="auto"/>
            </w:tcBorders>
            <w:vAlign w:val="center"/>
          </w:tcPr>
          <w:p w14:paraId="52A09C78" w14:textId="77777777" w:rsidR="007B0AEA" w:rsidRPr="00925091" w:rsidRDefault="007B0AEA" w:rsidP="007B0AEA">
            <w:pPr>
              <w:spacing w:before="0" w:after="0" w:line="269" w:lineRule="auto"/>
              <w:ind w:left="144"/>
              <w:contextualSpacing/>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Belgrade</w:t>
            </w:r>
          </w:p>
        </w:tc>
        <w:tc>
          <w:tcPr>
            <w:tcW w:w="0" w:type="auto"/>
            <w:vAlign w:val="center"/>
          </w:tcPr>
          <w:p w14:paraId="769F9B35"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107</w:t>
            </w:r>
          </w:p>
        </w:tc>
        <w:tc>
          <w:tcPr>
            <w:tcW w:w="0" w:type="auto"/>
            <w:vAlign w:val="center"/>
          </w:tcPr>
          <w:p w14:paraId="64122482"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90</w:t>
            </w:r>
          </w:p>
        </w:tc>
        <w:tc>
          <w:tcPr>
            <w:tcW w:w="0" w:type="auto"/>
            <w:vAlign w:val="center"/>
          </w:tcPr>
          <w:p w14:paraId="270F6A91"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17</w:t>
            </w:r>
          </w:p>
        </w:tc>
        <w:tc>
          <w:tcPr>
            <w:tcW w:w="0" w:type="auto"/>
            <w:vAlign w:val="center"/>
          </w:tcPr>
          <w:p w14:paraId="15780044"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p>
        </w:tc>
        <w:tc>
          <w:tcPr>
            <w:tcW w:w="0" w:type="auto"/>
            <w:vAlign w:val="center"/>
          </w:tcPr>
          <w:p w14:paraId="37AEDE09" w14:textId="2D55B8C8"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2,140</w:t>
            </w:r>
          </w:p>
        </w:tc>
        <w:tc>
          <w:tcPr>
            <w:tcW w:w="0" w:type="auto"/>
            <w:vAlign w:val="center"/>
          </w:tcPr>
          <w:p w14:paraId="4A88D4FD" w14:textId="4E23E1A9"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1,800</w:t>
            </w:r>
          </w:p>
        </w:tc>
        <w:tc>
          <w:tcPr>
            <w:tcW w:w="0" w:type="auto"/>
            <w:tcBorders>
              <w:right w:val="single" w:sz="4" w:space="0" w:color="auto"/>
            </w:tcBorders>
            <w:vAlign w:val="center"/>
          </w:tcPr>
          <w:p w14:paraId="7E5FBFF4"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340</w:t>
            </w:r>
          </w:p>
        </w:tc>
      </w:tr>
      <w:tr w:rsidR="007B0AEA" w:rsidRPr="00925091" w14:paraId="02CB5E87" w14:textId="77777777" w:rsidTr="007B0AEA">
        <w:trPr>
          <w:cantSplit/>
          <w:trHeight w:val="288"/>
          <w:jc w:val="center"/>
        </w:trPr>
        <w:tc>
          <w:tcPr>
            <w:tcW w:w="0" w:type="auto"/>
            <w:tcBorders>
              <w:left w:val="single" w:sz="4" w:space="0" w:color="auto"/>
            </w:tcBorders>
            <w:vAlign w:val="center"/>
          </w:tcPr>
          <w:p w14:paraId="41261E25" w14:textId="77777777" w:rsidR="007B0AEA" w:rsidRPr="00925091" w:rsidRDefault="007B0AEA" w:rsidP="007B0AEA">
            <w:pPr>
              <w:spacing w:before="0" w:after="0" w:line="269" w:lineRule="auto"/>
              <w:ind w:left="144"/>
              <w:contextualSpacing/>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Vojvodina</w:t>
            </w:r>
          </w:p>
        </w:tc>
        <w:tc>
          <w:tcPr>
            <w:tcW w:w="0" w:type="auto"/>
            <w:vAlign w:val="center"/>
          </w:tcPr>
          <w:p w14:paraId="6E5F4D00"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99</w:t>
            </w:r>
          </w:p>
        </w:tc>
        <w:tc>
          <w:tcPr>
            <w:tcW w:w="0" w:type="auto"/>
            <w:vAlign w:val="center"/>
          </w:tcPr>
          <w:p w14:paraId="5919F7DA"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60</w:t>
            </w:r>
          </w:p>
        </w:tc>
        <w:tc>
          <w:tcPr>
            <w:tcW w:w="0" w:type="auto"/>
            <w:vAlign w:val="center"/>
          </w:tcPr>
          <w:p w14:paraId="544653F7"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39</w:t>
            </w:r>
          </w:p>
        </w:tc>
        <w:tc>
          <w:tcPr>
            <w:tcW w:w="0" w:type="auto"/>
            <w:vAlign w:val="center"/>
          </w:tcPr>
          <w:p w14:paraId="2910088B"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p>
        </w:tc>
        <w:tc>
          <w:tcPr>
            <w:tcW w:w="0" w:type="auto"/>
            <w:vAlign w:val="center"/>
          </w:tcPr>
          <w:p w14:paraId="67247FDB" w14:textId="4C9EA8C5"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1,980</w:t>
            </w:r>
          </w:p>
        </w:tc>
        <w:tc>
          <w:tcPr>
            <w:tcW w:w="0" w:type="auto"/>
            <w:vAlign w:val="center"/>
          </w:tcPr>
          <w:p w14:paraId="7E49D9B5" w14:textId="6368FFA2"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1,200</w:t>
            </w:r>
          </w:p>
        </w:tc>
        <w:tc>
          <w:tcPr>
            <w:tcW w:w="0" w:type="auto"/>
            <w:tcBorders>
              <w:right w:val="single" w:sz="4" w:space="0" w:color="auto"/>
            </w:tcBorders>
            <w:vAlign w:val="center"/>
          </w:tcPr>
          <w:p w14:paraId="7231FD32"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780</w:t>
            </w:r>
          </w:p>
        </w:tc>
      </w:tr>
      <w:tr w:rsidR="007B0AEA" w:rsidRPr="00925091" w14:paraId="6148B2C4" w14:textId="77777777" w:rsidTr="007B0AEA">
        <w:trPr>
          <w:cantSplit/>
          <w:trHeight w:val="288"/>
          <w:jc w:val="center"/>
        </w:trPr>
        <w:tc>
          <w:tcPr>
            <w:tcW w:w="0" w:type="auto"/>
            <w:tcBorders>
              <w:left w:val="single" w:sz="4" w:space="0" w:color="auto"/>
            </w:tcBorders>
            <w:vAlign w:val="center"/>
          </w:tcPr>
          <w:p w14:paraId="4EF62228" w14:textId="77777777" w:rsidR="007B0AEA" w:rsidRPr="00925091" w:rsidRDefault="007B0AEA" w:rsidP="007B0AEA">
            <w:pPr>
              <w:spacing w:before="0" w:after="0" w:line="269" w:lineRule="auto"/>
              <w:ind w:left="144"/>
              <w:contextualSpacing/>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Sumadija and Western Serbia</w:t>
            </w:r>
          </w:p>
        </w:tc>
        <w:tc>
          <w:tcPr>
            <w:tcW w:w="0" w:type="auto"/>
            <w:vAlign w:val="center"/>
          </w:tcPr>
          <w:p w14:paraId="53892C74"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95</w:t>
            </w:r>
          </w:p>
        </w:tc>
        <w:tc>
          <w:tcPr>
            <w:tcW w:w="0" w:type="auto"/>
            <w:vAlign w:val="center"/>
          </w:tcPr>
          <w:p w14:paraId="507B3967"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47</w:t>
            </w:r>
          </w:p>
        </w:tc>
        <w:tc>
          <w:tcPr>
            <w:tcW w:w="0" w:type="auto"/>
            <w:vAlign w:val="center"/>
          </w:tcPr>
          <w:p w14:paraId="22560766"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48</w:t>
            </w:r>
          </w:p>
        </w:tc>
        <w:tc>
          <w:tcPr>
            <w:tcW w:w="0" w:type="auto"/>
            <w:vAlign w:val="center"/>
          </w:tcPr>
          <w:p w14:paraId="5966ABDF"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p>
        </w:tc>
        <w:tc>
          <w:tcPr>
            <w:tcW w:w="0" w:type="auto"/>
            <w:vAlign w:val="center"/>
          </w:tcPr>
          <w:p w14:paraId="52DC5F5B" w14:textId="7DBD7EC8"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1,900</w:t>
            </w:r>
          </w:p>
        </w:tc>
        <w:tc>
          <w:tcPr>
            <w:tcW w:w="0" w:type="auto"/>
            <w:vAlign w:val="center"/>
          </w:tcPr>
          <w:p w14:paraId="6B42FBA0"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940</w:t>
            </w:r>
          </w:p>
        </w:tc>
        <w:tc>
          <w:tcPr>
            <w:tcW w:w="0" w:type="auto"/>
            <w:tcBorders>
              <w:right w:val="single" w:sz="4" w:space="0" w:color="auto"/>
            </w:tcBorders>
            <w:vAlign w:val="center"/>
          </w:tcPr>
          <w:p w14:paraId="03BC139A"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960</w:t>
            </w:r>
          </w:p>
        </w:tc>
      </w:tr>
      <w:tr w:rsidR="007B0AEA" w:rsidRPr="00925091" w14:paraId="519BF2FC" w14:textId="77777777" w:rsidTr="007B0AEA">
        <w:trPr>
          <w:cantSplit/>
          <w:trHeight w:val="288"/>
          <w:jc w:val="center"/>
        </w:trPr>
        <w:tc>
          <w:tcPr>
            <w:tcW w:w="0" w:type="auto"/>
            <w:tcBorders>
              <w:left w:val="single" w:sz="4" w:space="0" w:color="auto"/>
              <w:bottom w:val="single" w:sz="4" w:space="0" w:color="auto"/>
            </w:tcBorders>
            <w:vAlign w:val="center"/>
          </w:tcPr>
          <w:p w14:paraId="3CFEEF68" w14:textId="77777777" w:rsidR="007B0AEA" w:rsidRPr="00925091" w:rsidRDefault="007B0AEA" w:rsidP="007B0AEA">
            <w:pPr>
              <w:spacing w:before="0" w:after="0" w:line="269" w:lineRule="auto"/>
              <w:ind w:left="144"/>
              <w:contextualSpacing/>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Southern and Eastern Serbia</w:t>
            </w:r>
          </w:p>
        </w:tc>
        <w:tc>
          <w:tcPr>
            <w:tcW w:w="0" w:type="auto"/>
            <w:tcBorders>
              <w:bottom w:val="single" w:sz="4" w:space="0" w:color="auto"/>
            </w:tcBorders>
            <w:vAlign w:val="center"/>
          </w:tcPr>
          <w:p w14:paraId="1B333955"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99</w:t>
            </w:r>
          </w:p>
        </w:tc>
        <w:tc>
          <w:tcPr>
            <w:tcW w:w="0" w:type="auto"/>
            <w:tcBorders>
              <w:bottom w:val="single" w:sz="4" w:space="0" w:color="auto"/>
            </w:tcBorders>
            <w:vAlign w:val="center"/>
          </w:tcPr>
          <w:p w14:paraId="172B2F79"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53</w:t>
            </w:r>
          </w:p>
        </w:tc>
        <w:tc>
          <w:tcPr>
            <w:tcW w:w="0" w:type="auto"/>
            <w:tcBorders>
              <w:bottom w:val="single" w:sz="4" w:space="0" w:color="auto"/>
            </w:tcBorders>
            <w:vAlign w:val="center"/>
          </w:tcPr>
          <w:p w14:paraId="6EC8F445"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46</w:t>
            </w:r>
          </w:p>
        </w:tc>
        <w:tc>
          <w:tcPr>
            <w:tcW w:w="0" w:type="auto"/>
            <w:tcBorders>
              <w:bottom w:val="single" w:sz="4" w:space="0" w:color="auto"/>
            </w:tcBorders>
            <w:vAlign w:val="center"/>
          </w:tcPr>
          <w:p w14:paraId="2E4FE790"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p>
        </w:tc>
        <w:tc>
          <w:tcPr>
            <w:tcW w:w="0" w:type="auto"/>
            <w:tcBorders>
              <w:bottom w:val="single" w:sz="4" w:space="0" w:color="auto"/>
            </w:tcBorders>
            <w:vAlign w:val="center"/>
          </w:tcPr>
          <w:p w14:paraId="4A7359C0" w14:textId="69B5AA1A"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1,980</w:t>
            </w:r>
          </w:p>
        </w:tc>
        <w:tc>
          <w:tcPr>
            <w:tcW w:w="0" w:type="auto"/>
            <w:tcBorders>
              <w:bottom w:val="single" w:sz="4" w:space="0" w:color="auto"/>
            </w:tcBorders>
            <w:vAlign w:val="center"/>
          </w:tcPr>
          <w:p w14:paraId="4646FDCE" w14:textId="794B9390"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1,060</w:t>
            </w:r>
          </w:p>
        </w:tc>
        <w:tc>
          <w:tcPr>
            <w:tcW w:w="0" w:type="auto"/>
            <w:tcBorders>
              <w:bottom w:val="single" w:sz="4" w:space="0" w:color="auto"/>
              <w:right w:val="single" w:sz="4" w:space="0" w:color="auto"/>
            </w:tcBorders>
            <w:vAlign w:val="center"/>
          </w:tcPr>
          <w:p w14:paraId="2C83A69F" w14:textId="77777777" w:rsidR="007B0AEA" w:rsidRPr="00925091" w:rsidRDefault="007B0AEA" w:rsidP="007B0AEA">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920</w:t>
            </w:r>
          </w:p>
        </w:tc>
      </w:tr>
    </w:tbl>
    <w:p w14:paraId="57D96915" w14:textId="77777777" w:rsidR="007B0AEA" w:rsidRPr="00925091" w:rsidRDefault="007B0AEA" w:rsidP="007B0AEA">
      <w:pPr>
        <w:spacing w:after="0" w:line="269" w:lineRule="auto"/>
        <w:rPr>
          <w:rFonts w:asciiTheme="majorHAnsi" w:hAnsiTheme="majorHAnsi" w:cstheme="majorHAnsi"/>
          <w:snapToGrid w:val="0"/>
          <w:szCs w:val="22"/>
          <w:lang w:val="en-GB"/>
        </w:rPr>
      </w:pPr>
    </w:p>
    <w:p w14:paraId="4AA129A3" w14:textId="793F7F2C" w:rsidR="007B0AEA" w:rsidRPr="00925091" w:rsidRDefault="007B0AEA" w:rsidP="00F00395">
      <w:pPr>
        <w:pStyle w:val="Heading2"/>
        <w:numPr>
          <w:ilvl w:val="0"/>
          <w:numId w:val="13"/>
        </w:numPr>
        <w:spacing w:before="0" w:line="269" w:lineRule="auto"/>
        <w:ind w:left="360"/>
        <w:rPr>
          <w:rStyle w:val="2H"/>
          <w:rFonts w:asciiTheme="majorHAnsi" w:hAnsiTheme="majorHAnsi" w:cstheme="majorHAnsi"/>
          <w:b w:val="0"/>
          <w:bCs/>
          <w:sz w:val="20"/>
          <w:szCs w:val="18"/>
          <w:lang w:val="en-GB"/>
        </w:rPr>
      </w:pPr>
      <w:bookmarkStart w:id="11" w:name="_Toc52987333"/>
      <w:r w:rsidRPr="00925091">
        <w:rPr>
          <w:rStyle w:val="2H"/>
          <w:rFonts w:asciiTheme="majorHAnsi" w:hAnsiTheme="majorHAnsi" w:cstheme="majorHAnsi"/>
          <w:b w:val="0"/>
          <w:bCs/>
          <w:sz w:val="20"/>
          <w:szCs w:val="18"/>
          <w:lang w:val="en-GB"/>
        </w:rPr>
        <w:t>Selection</w:t>
      </w:r>
      <w:r w:rsidRPr="00925091">
        <w:rPr>
          <w:rStyle w:val="2H"/>
          <w:rFonts w:asciiTheme="majorHAnsi" w:hAnsiTheme="majorHAnsi" w:cstheme="majorHAnsi"/>
          <w:b w:val="0"/>
          <w:bCs/>
          <w:caps w:val="0"/>
          <w:sz w:val="20"/>
          <w:szCs w:val="18"/>
          <w:lang w:val="en-GB"/>
        </w:rPr>
        <w:t xml:space="preserve"> </w:t>
      </w:r>
      <w:r w:rsidRPr="00925091">
        <w:rPr>
          <w:rStyle w:val="2H"/>
          <w:rFonts w:asciiTheme="majorHAnsi" w:hAnsiTheme="majorHAnsi" w:cstheme="majorHAnsi"/>
          <w:b w:val="0"/>
          <w:bCs/>
          <w:sz w:val="20"/>
          <w:szCs w:val="18"/>
          <w:lang w:val="en-GB"/>
        </w:rPr>
        <w:t>of enumeration areas (clusters)</w:t>
      </w:r>
      <w:bookmarkEnd w:id="11"/>
    </w:p>
    <w:p w14:paraId="23C73858" w14:textId="3AAA07C4" w:rsidR="007B0AEA" w:rsidRPr="00925091" w:rsidRDefault="007B0AEA" w:rsidP="000A02EE">
      <w:pPr>
        <w:rPr>
          <w:rFonts w:asciiTheme="majorHAnsi" w:hAnsiTheme="majorHAnsi" w:cstheme="majorHAnsi"/>
          <w:snapToGrid w:val="0"/>
          <w:szCs w:val="22"/>
          <w:lang w:val="en-GB"/>
        </w:rPr>
      </w:pPr>
      <w:r w:rsidRPr="00925091">
        <w:rPr>
          <w:rFonts w:asciiTheme="majorHAnsi" w:hAnsiTheme="majorHAnsi" w:cstheme="majorHAnsi"/>
          <w:szCs w:val="22"/>
          <w:lang w:val="en-GB"/>
        </w:rPr>
        <w:t>Census</w:t>
      </w:r>
      <w:r w:rsidRPr="00925091">
        <w:rPr>
          <w:rFonts w:asciiTheme="majorHAnsi" w:hAnsiTheme="majorHAnsi" w:cstheme="majorHAnsi"/>
          <w:snapToGrid w:val="0"/>
          <w:szCs w:val="22"/>
          <w:lang w:val="en-GB"/>
        </w:rPr>
        <w:t xml:space="preserve"> enumeration areas </w:t>
      </w:r>
      <w:r w:rsidR="009144EA">
        <w:rPr>
          <w:rFonts w:asciiTheme="majorHAnsi" w:hAnsiTheme="majorHAnsi" w:cstheme="majorHAnsi"/>
          <w:snapToGrid w:val="0"/>
          <w:szCs w:val="22"/>
          <w:lang w:val="en-GB"/>
        </w:rPr>
        <w:t xml:space="preserve">(EAs) </w:t>
      </w:r>
      <w:r w:rsidRPr="00925091">
        <w:rPr>
          <w:rFonts w:asciiTheme="majorHAnsi" w:hAnsiTheme="majorHAnsi" w:cstheme="majorHAnsi"/>
          <w:snapToGrid w:val="0"/>
          <w:szCs w:val="22"/>
          <w:lang w:val="en-GB"/>
        </w:rPr>
        <w:t xml:space="preserve">were selected from each of the sampling strata by using systematic probability proportional to size (pps) sampling procedures, based on the number of households in </w:t>
      </w:r>
      <w:r w:rsidR="009144EA">
        <w:rPr>
          <w:rFonts w:asciiTheme="majorHAnsi" w:hAnsiTheme="majorHAnsi" w:cstheme="majorHAnsi"/>
          <w:snapToGrid w:val="0"/>
          <w:szCs w:val="22"/>
          <w:lang w:val="en-GB"/>
        </w:rPr>
        <w:t>EA</w:t>
      </w:r>
      <w:r w:rsidRPr="00925091">
        <w:rPr>
          <w:rFonts w:asciiTheme="majorHAnsi" w:hAnsiTheme="majorHAnsi" w:cstheme="majorHAnsi"/>
          <w:snapToGrid w:val="0"/>
          <w:szCs w:val="22"/>
          <w:lang w:val="en-GB"/>
        </w:rPr>
        <w:t xml:space="preserve"> from the 2011 Census frame. The first stage of sampling was thus completed by selecting the required number of sample EAs (specified in Table SD.2) from each of the four regions, separately for the urban and </w:t>
      </w:r>
      <w:r w:rsidR="00566EF9" w:rsidRPr="00925091">
        <w:rPr>
          <w:rFonts w:asciiTheme="majorHAnsi" w:hAnsiTheme="majorHAnsi" w:cstheme="majorHAnsi"/>
          <w:lang w:val="en-GB"/>
        </w:rPr>
        <w:t>other</w:t>
      </w:r>
      <w:r w:rsidR="00566EF9" w:rsidRPr="00925091">
        <w:rPr>
          <w:rFonts w:asciiTheme="majorHAnsi" w:hAnsiTheme="majorHAnsi" w:cstheme="majorHAnsi"/>
          <w:snapToGrid w:val="0"/>
          <w:szCs w:val="22"/>
          <w:lang w:val="en-GB"/>
        </w:rPr>
        <w:t xml:space="preserve"> </w:t>
      </w:r>
      <w:r w:rsidRPr="00925091">
        <w:rPr>
          <w:rFonts w:asciiTheme="majorHAnsi" w:hAnsiTheme="majorHAnsi" w:cstheme="majorHAnsi"/>
          <w:snapToGrid w:val="0"/>
          <w:szCs w:val="22"/>
          <w:lang w:val="en-GB"/>
        </w:rPr>
        <w:t>strata.</w:t>
      </w:r>
    </w:p>
    <w:p w14:paraId="071384FB" w14:textId="77777777" w:rsidR="00E25A8C" w:rsidRPr="00925091" w:rsidRDefault="00E25A8C" w:rsidP="00F00395">
      <w:pPr>
        <w:pStyle w:val="Heading2"/>
        <w:numPr>
          <w:ilvl w:val="0"/>
          <w:numId w:val="13"/>
        </w:numPr>
        <w:spacing w:before="0" w:line="269" w:lineRule="auto"/>
        <w:ind w:left="360"/>
        <w:rPr>
          <w:rStyle w:val="2H"/>
          <w:rFonts w:asciiTheme="majorHAnsi" w:hAnsiTheme="majorHAnsi" w:cstheme="majorHAnsi"/>
          <w:b w:val="0"/>
          <w:bCs/>
          <w:sz w:val="20"/>
          <w:szCs w:val="18"/>
          <w:lang w:val="en-GB"/>
        </w:rPr>
      </w:pPr>
      <w:bookmarkStart w:id="12" w:name="_Toc52987334"/>
      <w:r w:rsidRPr="00925091">
        <w:rPr>
          <w:rStyle w:val="2H"/>
          <w:rFonts w:asciiTheme="majorHAnsi" w:hAnsiTheme="majorHAnsi" w:cstheme="majorHAnsi"/>
          <w:b w:val="0"/>
          <w:bCs/>
          <w:sz w:val="20"/>
          <w:szCs w:val="18"/>
          <w:lang w:val="en-GB"/>
        </w:rPr>
        <w:t>Listing activities</w:t>
      </w:r>
      <w:bookmarkEnd w:id="12"/>
    </w:p>
    <w:p w14:paraId="12E148B5" w14:textId="4BA04B77" w:rsidR="00E25A8C" w:rsidRPr="00925091" w:rsidRDefault="00E25A8C" w:rsidP="000A02EE">
      <w:pPr>
        <w:rPr>
          <w:rFonts w:asciiTheme="majorHAnsi" w:hAnsiTheme="majorHAnsi" w:cstheme="majorHAnsi"/>
          <w:szCs w:val="22"/>
          <w:lang w:val="en-GB"/>
        </w:rPr>
      </w:pPr>
      <w:r w:rsidRPr="00925091">
        <w:rPr>
          <w:rFonts w:asciiTheme="majorHAnsi" w:hAnsiTheme="majorHAnsi" w:cstheme="majorHAnsi"/>
          <w:szCs w:val="22"/>
          <w:lang w:val="en-GB"/>
        </w:rPr>
        <w:t>Given that there had been many changes in the households enumerated in the 201</w:t>
      </w:r>
      <w:r w:rsidR="007B0AEA" w:rsidRPr="00925091">
        <w:rPr>
          <w:rFonts w:asciiTheme="majorHAnsi" w:hAnsiTheme="majorHAnsi" w:cstheme="majorHAnsi"/>
          <w:szCs w:val="22"/>
          <w:lang w:val="en-GB"/>
        </w:rPr>
        <w:t>1</w:t>
      </w:r>
      <w:r w:rsidRPr="00925091">
        <w:rPr>
          <w:rFonts w:asciiTheme="majorHAnsi" w:hAnsiTheme="majorHAnsi" w:cstheme="majorHAnsi"/>
          <w:szCs w:val="22"/>
          <w:lang w:val="en-GB"/>
        </w:rPr>
        <w:t xml:space="preserve"> Census, a new listing of households was conducted in all the sample </w:t>
      </w:r>
      <w:r w:rsidR="009144EA">
        <w:rPr>
          <w:rFonts w:asciiTheme="majorHAnsi" w:hAnsiTheme="majorHAnsi" w:cstheme="majorHAnsi"/>
          <w:szCs w:val="22"/>
          <w:lang w:val="en-GB"/>
        </w:rPr>
        <w:t>EAs</w:t>
      </w:r>
      <w:r w:rsidRPr="00925091">
        <w:rPr>
          <w:rFonts w:asciiTheme="majorHAnsi" w:hAnsiTheme="majorHAnsi" w:cstheme="majorHAnsi"/>
          <w:szCs w:val="22"/>
          <w:lang w:val="en-GB"/>
        </w:rPr>
        <w:t xml:space="preserve"> prior to the selection of households. For this purpose, listing teams were trained to visit all the selected </w:t>
      </w:r>
      <w:r w:rsidR="009144EA">
        <w:rPr>
          <w:rFonts w:asciiTheme="majorHAnsi" w:hAnsiTheme="majorHAnsi" w:cstheme="majorHAnsi"/>
          <w:szCs w:val="22"/>
          <w:lang w:val="en-GB"/>
        </w:rPr>
        <w:t>EAs</w:t>
      </w:r>
      <w:r w:rsidRPr="00925091">
        <w:rPr>
          <w:rFonts w:asciiTheme="majorHAnsi" w:hAnsiTheme="majorHAnsi" w:cstheme="majorHAnsi"/>
          <w:szCs w:val="22"/>
          <w:lang w:val="en-GB"/>
        </w:rPr>
        <w:t xml:space="preserve"> and list all households in each </w:t>
      </w:r>
      <w:r w:rsidR="009144EA">
        <w:rPr>
          <w:rFonts w:asciiTheme="majorHAnsi" w:hAnsiTheme="majorHAnsi" w:cstheme="majorHAnsi"/>
          <w:szCs w:val="22"/>
          <w:lang w:val="en-GB"/>
        </w:rPr>
        <w:t>EA</w:t>
      </w:r>
      <w:r w:rsidRPr="00925091">
        <w:rPr>
          <w:rFonts w:asciiTheme="majorHAnsi" w:hAnsiTheme="majorHAnsi" w:cstheme="majorHAnsi"/>
          <w:szCs w:val="22"/>
          <w:lang w:val="en-GB"/>
        </w:rPr>
        <w:t xml:space="preserve">. </w:t>
      </w:r>
    </w:p>
    <w:p w14:paraId="3197D331" w14:textId="7571CFEC"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The Statistical Office of the Republic of Serbia was responsible for the listing operations. Regional Offices formed the teams responsible for listing and fieldwork. For each team, an ortho-photo map and description of the selected </w:t>
      </w:r>
      <w:r w:rsidR="009144EA">
        <w:rPr>
          <w:rFonts w:asciiTheme="majorHAnsi" w:hAnsiTheme="majorHAnsi" w:cstheme="majorHAnsi"/>
          <w:szCs w:val="22"/>
          <w:lang w:val="en-GB"/>
        </w:rPr>
        <w:t>EA</w:t>
      </w:r>
      <w:r w:rsidRPr="00925091">
        <w:rPr>
          <w:rFonts w:asciiTheme="majorHAnsi" w:hAnsiTheme="majorHAnsi" w:cstheme="majorHAnsi"/>
          <w:szCs w:val="22"/>
          <w:lang w:val="en-GB"/>
        </w:rPr>
        <w:t xml:space="preserve"> from the Census 2011 were provided, together with corresponding Google Earth maps with the EA boundaries clearly identified. Using the ortho-photo map, description of the enumeration area and digital maps – with boundaries </w:t>
      </w:r>
      <w:r w:rsidR="009144EA">
        <w:rPr>
          <w:rFonts w:asciiTheme="majorHAnsi" w:hAnsiTheme="majorHAnsi" w:cstheme="majorHAnsi"/>
          <w:szCs w:val="22"/>
          <w:lang w:val="en-GB"/>
        </w:rPr>
        <w:t>for</w:t>
      </w:r>
      <w:r w:rsidR="009144EA"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EAs accessible via google maps, convenient for using GPS Google Earth maps</w:t>
      </w:r>
      <w:r w:rsidR="009144EA">
        <w:rPr>
          <w:rFonts w:asciiTheme="majorHAnsi" w:hAnsiTheme="majorHAnsi" w:cstheme="majorHAnsi"/>
          <w:szCs w:val="22"/>
          <w:lang w:val="en-GB"/>
        </w:rPr>
        <w:t xml:space="preserve"> –</w:t>
      </w:r>
      <w:r w:rsidRPr="00925091">
        <w:rPr>
          <w:rFonts w:asciiTheme="majorHAnsi" w:hAnsiTheme="majorHAnsi" w:cstheme="majorHAnsi"/>
          <w:szCs w:val="22"/>
          <w:lang w:val="en-GB"/>
        </w:rPr>
        <w:t xml:space="preserve"> the listers’ task was to draw a map of the cluster together with all structures within the cluster and to record on the listing forms all objects, dwellings, households with the full addresses and the names of the heads of the households, and to note the presence of children under five living in the household.</w:t>
      </w:r>
    </w:p>
    <w:p w14:paraId="3EA31A20" w14:textId="653EDEC7"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lastRenderedPageBreak/>
        <w:t xml:space="preserve">Five </w:t>
      </w:r>
      <w:r w:rsidR="009144EA">
        <w:rPr>
          <w:rFonts w:asciiTheme="majorHAnsi" w:hAnsiTheme="majorHAnsi" w:cstheme="majorHAnsi"/>
          <w:szCs w:val="22"/>
          <w:lang w:val="en-GB"/>
        </w:rPr>
        <w:t>EAs</w:t>
      </w:r>
      <w:r w:rsidRPr="00925091">
        <w:rPr>
          <w:rFonts w:asciiTheme="majorHAnsi" w:hAnsiTheme="majorHAnsi" w:cstheme="majorHAnsi"/>
          <w:szCs w:val="22"/>
          <w:lang w:val="en-GB"/>
        </w:rPr>
        <w:t xml:space="preserve"> with more than 300 households were considered to be too large for complete listing. In order to achieve good quality and reduce the required time for the listing process, only a randomly selected part (segment) of the </w:t>
      </w:r>
      <w:r w:rsidR="009144EA">
        <w:rPr>
          <w:rFonts w:asciiTheme="majorHAnsi" w:hAnsiTheme="majorHAnsi" w:cstheme="majorHAnsi"/>
          <w:szCs w:val="22"/>
          <w:lang w:val="en-GB"/>
        </w:rPr>
        <w:t>EA</w:t>
      </w:r>
      <w:r w:rsidRPr="00925091">
        <w:rPr>
          <w:rFonts w:asciiTheme="majorHAnsi" w:hAnsiTheme="majorHAnsi" w:cstheme="majorHAnsi"/>
          <w:szCs w:val="22"/>
          <w:lang w:val="en-GB"/>
        </w:rPr>
        <w:t xml:space="preserve"> was subject to listing</w:t>
      </w:r>
      <w:r w:rsidR="000A02EE" w:rsidRPr="00925091">
        <w:rPr>
          <w:rFonts w:asciiTheme="majorHAnsi" w:hAnsiTheme="majorHAnsi" w:cstheme="majorHAnsi"/>
          <w:szCs w:val="22"/>
          <w:lang w:val="en-GB"/>
        </w:rPr>
        <w:t xml:space="preserve"> after a segmentation process</w:t>
      </w:r>
      <w:r w:rsidRPr="00925091">
        <w:rPr>
          <w:rFonts w:asciiTheme="majorHAnsi" w:hAnsiTheme="majorHAnsi" w:cstheme="majorHAnsi"/>
          <w:szCs w:val="22"/>
          <w:lang w:val="en-GB"/>
        </w:rPr>
        <w:t xml:space="preserve">. The boundaries of the segments were defined in the field in accordance with the configuration of the field and existing address system, by dividing the </w:t>
      </w:r>
      <w:r w:rsidR="009144EA">
        <w:rPr>
          <w:rFonts w:asciiTheme="majorHAnsi" w:hAnsiTheme="majorHAnsi" w:cstheme="majorHAnsi"/>
          <w:szCs w:val="22"/>
          <w:lang w:val="en-GB"/>
        </w:rPr>
        <w:t>EA</w:t>
      </w:r>
      <w:r w:rsidRPr="00925091">
        <w:rPr>
          <w:rFonts w:asciiTheme="majorHAnsi" w:hAnsiTheme="majorHAnsi" w:cstheme="majorHAnsi"/>
          <w:szCs w:val="22"/>
          <w:lang w:val="en-GB"/>
        </w:rPr>
        <w:t xml:space="preserve"> into parts/segments of approximately equal sizes (based on the estimated number of dwellings). For </w:t>
      </w:r>
      <w:r w:rsidR="000A02EE" w:rsidRPr="00925091">
        <w:rPr>
          <w:rFonts w:asciiTheme="majorHAnsi" w:hAnsiTheme="majorHAnsi" w:cstheme="majorHAnsi"/>
          <w:szCs w:val="22"/>
          <w:lang w:val="en-GB"/>
        </w:rPr>
        <w:t xml:space="preserve">five such </w:t>
      </w:r>
      <w:r w:rsidR="00D07F58" w:rsidRPr="00925091">
        <w:rPr>
          <w:rFonts w:asciiTheme="majorHAnsi" w:hAnsiTheme="majorHAnsi" w:cstheme="majorHAnsi"/>
          <w:szCs w:val="22"/>
          <w:lang w:val="en-GB"/>
        </w:rPr>
        <w:t xml:space="preserve">large </w:t>
      </w:r>
      <w:r w:rsidR="009144EA">
        <w:rPr>
          <w:rFonts w:asciiTheme="majorHAnsi" w:hAnsiTheme="majorHAnsi" w:cstheme="majorHAnsi"/>
          <w:szCs w:val="22"/>
          <w:lang w:val="en-GB"/>
        </w:rPr>
        <w:t>EAs</w:t>
      </w:r>
      <w:r w:rsidRPr="00925091">
        <w:rPr>
          <w:rFonts w:asciiTheme="majorHAnsi" w:hAnsiTheme="majorHAnsi" w:cstheme="majorHAnsi"/>
          <w:szCs w:val="22"/>
          <w:lang w:val="en-GB"/>
        </w:rPr>
        <w:t xml:space="preserve">, one segment was randomly selected, and within the boundaries of the segment, all occupied households were listed. During the listing operation in three </w:t>
      </w:r>
      <w:r w:rsidR="009144EA">
        <w:rPr>
          <w:rFonts w:asciiTheme="majorHAnsi" w:hAnsiTheme="majorHAnsi" w:cstheme="majorHAnsi"/>
          <w:szCs w:val="22"/>
          <w:lang w:val="en-GB"/>
        </w:rPr>
        <w:t>EAs</w:t>
      </w:r>
      <w:r w:rsidRPr="00925091">
        <w:rPr>
          <w:rFonts w:asciiTheme="majorHAnsi" w:hAnsiTheme="majorHAnsi" w:cstheme="majorHAnsi"/>
          <w:szCs w:val="22"/>
          <w:lang w:val="en-GB"/>
        </w:rPr>
        <w:t xml:space="preserve"> in</w:t>
      </w:r>
      <w:r w:rsidR="00D07F58" w:rsidRPr="00925091">
        <w:rPr>
          <w:rFonts w:asciiTheme="majorHAnsi" w:hAnsiTheme="majorHAnsi" w:cstheme="majorHAnsi"/>
          <w:szCs w:val="22"/>
          <w:lang w:val="en-GB"/>
        </w:rPr>
        <w:t xml:space="preserve"> the</w:t>
      </w:r>
      <w:r w:rsidRPr="00925091">
        <w:rPr>
          <w:rFonts w:asciiTheme="majorHAnsi" w:hAnsiTheme="majorHAnsi" w:cstheme="majorHAnsi"/>
          <w:szCs w:val="22"/>
          <w:lang w:val="en-GB"/>
        </w:rPr>
        <w:t xml:space="preserve"> other type of settlement, </w:t>
      </w:r>
      <w:r w:rsidR="009144EA">
        <w:rPr>
          <w:rFonts w:asciiTheme="majorHAnsi" w:hAnsiTheme="majorHAnsi" w:cstheme="majorHAnsi"/>
          <w:szCs w:val="22"/>
          <w:lang w:val="en-GB"/>
        </w:rPr>
        <w:t>fewer</w:t>
      </w:r>
      <w:r w:rsidR="009144EA"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than 15 households were enumerated</w:t>
      </w:r>
      <w:r w:rsidR="00D07F58" w:rsidRPr="00925091">
        <w:rPr>
          <w:rFonts w:asciiTheme="majorHAnsi" w:hAnsiTheme="majorHAnsi" w:cstheme="majorHAnsi"/>
          <w:szCs w:val="22"/>
          <w:lang w:val="en-GB"/>
        </w:rPr>
        <w:t>,</w:t>
      </w:r>
      <w:r w:rsidRPr="00925091">
        <w:rPr>
          <w:rFonts w:asciiTheme="majorHAnsi" w:hAnsiTheme="majorHAnsi" w:cstheme="majorHAnsi"/>
          <w:szCs w:val="22"/>
          <w:lang w:val="en-GB"/>
        </w:rPr>
        <w:t xml:space="preserve"> and three adjacent clusters that were not originally selected in the sample, with almost the same number of households, were combined with </w:t>
      </w:r>
      <w:r w:rsidR="009144EA">
        <w:rPr>
          <w:rFonts w:asciiTheme="majorHAnsi" w:hAnsiTheme="majorHAnsi" w:cstheme="majorHAnsi"/>
          <w:szCs w:val="22"/>
          <w:lang w:val="en-GB"/>
        </w:rPr>
        <w:t xml:space="preserve">the ones already </w:t>
      </w:r>
      <w:r w:rsidRPr="00925091">
        <w:rPr>
          <w:rFonts w:asciiTheme="majorHAnsi" w:hAnsiTheme="majorHAnsi" w:cstheme="majorHAnsi"/>
          <w:szCs w:val="22"/>
          <w:lang w:val="en-GB"/>
        </w:rPr>
        <w:t>selected. The listing process was performed during January and February 2019.</w:t>
      </w:r>
    </w:p>
    <w:p w14:paraId="67AF1215" w14:textId="77777777" w:rsidR="00E25A8C" w:rsidRPr="00925091" w:rsidRDefault="00E25A8C" w:rsidP="00F00395">
      <w:pPr>
        <w:pStyle w:val="Heading2"/>
        <w:numPr>
          <w:ilvl w:val="0"/>
          <w:numId w:val="13"/>
        </w:numPr>
        <w:spacing w:before="0" w:line="269" w:lineRule="auto"/>
        <w:ind w:left="360"/>
        <w:rPr>
          <w:rStyle w:val="2H"/>
          <w:rFonts w:asciiTheme="majorHAnsi" w:hAnsiTheme="majorHAnsi" w:cstheme="majorHAnsi"/>
          <w:b w:val="0"/>
          <w:bCs/>
          <w:sz w:val="20"/>
          <w:szCs w:val="18"/>
          <w:lang w:val="en-GB"/>
        </w:rPr>
      </w:pPr>
      <w:bookmarkStart w:id="13" w:name="_Toc52987335"/>
      <w:r w:rsidRPr="00925091">
        <w:rPr>
          <w:rStyle w:val="2H"/>
          <w:rFonts w:asciiTheme="majorHAnsi" w:hAnsiTheme="majorHAnsi" w:cstheme="majorHAnsi"/>
          <w:b w:val="0"/>
          <w:bCs/>
          <w:sz w:val="20"/>
          <w:szCs w:val="18"/>
          <w:lang w:val="en-GB"/>
        </w:rPr>
        <w:t>Selection of households</w:t>
      </w:r>
      <w:bookmarkEnd w:id="13"/>
    </w:p>
    <w:p w14:paraId="5ECD09BF" w14:textId="327E1035"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Lists of households were prepared by the listing teams in the field for each </w:t>
      </w:r>
      <w:r w:rsidR="009144EA">
        <w:rPr>
          <w:rFonts w:asciiTheme="majorHAnsi" w:hAnsiTheme="majorHAnsi" w:cstheme="majorHAnsi"/>
          <w:szCs w:val="22"/>
          <w:lang w:val="en-GB"/>
        </w:rPr>
        <w:t>EA</w:t>
      </w:r>
      <w:r w:rsidRPr="00925091">
        <w:rPr>
          <w:rFonts w:asciiTheme="majorHAnsi" w:hAnsiTheme="majorHAnsi" w:cstheme="majorHAnsi"/>
          <w:szCs w:val="22"/>
          <w:lang w:val="en-GB"/>
        </w:rPr>
        <w:t xml:space="preserve"> and sent to the Statistical Office of the Republic of Serbia. The households listed in each sample cluster were divided into two strata for the second stage selection</w:t>
      </w:r>
      <w:r w:rsidR="000A02EE" w:rsidRPr="00925091">
        <w:rPr>
          <w:rFonts w:asciiTheme="majorHAnsi" w:hAnsiTheme="majorHAnsi" w:cstheme="majorHAnsi"/>
          <w:szCs w:val="22"/>
          <w:lang w:val="en-GB"/>
        </w:rPr>
        <w:t xml:space="preserve"> of 20 households in each cluster</w:t>
      </w:r>
      <w:r w:rsidRPr="00925091">
        <w:rPr>
          <w:rFonts w:asciiTheme="majorHAnsi" w:hAnsiTheme="majorHAnsi" w:cstheme="majorHAnsi"/>
          <w:szCs w:val="22"/>
          <w:lang w:val="en-GB"/>
        </w:rPr>
        <w:t xml:space="preserve">: households with children under </w:t>
      </w:r>
      <w:r w:rsidR="009144EA">
        <w:rPr>
          <w:rFonts w:asciiTheme="majorHAnsi" w:hAnsiTheme="majorHAnsi" w:cstheme="majorHAnsi"/>
          <w:szCs w:val="22"/>
          <w:lang w:val="en-GB"/>
        </w:rPr>
        <w:t>five</w:t>
      </w:r>
      <w:r w:rsidRPr="00925091">
        <w:rPr>
          <w:rFonts w:asciiTheme="majorHAnsi" w:hAnsiTheme="majorHAnsi" w:cstheme="majorHAnsi"/>
          <w:szCs w:val="22"/>
          <w:lang w:val="en-GB"/>
        </w:rPr>
        <w:t xml:space="preserve"> and households without children under </w:t>
      </w:r>
      <w:r w:rsidR="009144EA">
        <w:rPr>
          <w:rFonts w:asciiTheme="majorHAnsi" w:hAnsiTheme="majorHAnsi" w:cstheme="majorHAnsi"/>
          <w:szCs w:val="22"/>
          <w:lang w:val="en-GB"/>
        </w:rPr>
        <w:t>five</w:t>
      </w:r>
      <w:r w:rsidRPr="00925091">
        <w:rPr>
          <w:rFonts w:asciiTheme="majorHAnsi" w:hAnsiTheme="majorHAnsi" w:cstheme="majorHAnsi"/>
          <w:szCs w:val="22"/>
          <w:lang w:val="en-GB"/>
        </w:rPr>
        <w:t xml:space="preserve">. A separate sample of households was selected from each group, using a higher sampling rate for households with children under </w:t>
      </w:r>
      <w:r w:rsidR="009144EA">
        <w:rPr>
          <w:rFonts w:asciiTheme="majorHAnsi" w:hAnsiTheme="majorHAnsi" w:cstheme="majorHAnsi"/>
          <w:szCs w:val="22"/>
          <w:lang w:val="en-GB"/>
        </w:rPr>
        <w:t>five</w:t>
      </w:r>
      <w:r w:rsidRPr="00925091">
        <w:rPr>
          <w:rFonts w:asciiTheme="majorHAnsi" w:hAnsiTheme="majorHAnsi" w:cstheme="majorHAnsi"/>
          <w:szCs w:val="22"/>
          <w:lang w:val="en-GB"/>
        </w:rPr>
        <w:t xml:space="preserve">. This sampling strategy increased the number of children under </w:t>
      </w:r>
      <w:r w:rsidR="009144EA">
        <w:rPr>
          <w:rFonts w:asciiTheme="majorHAnsi" w:hAnsiTheme="majorHAnsi" w:cstheme="majorHAnsi"/>
          <w:szCs w:val="22"/>
          <w:lang w:val="en-GB"/>
        </w:rPr>
        <w:t>five</w:t>
      </w:r>
      <w:r w:rsidR="009144EA"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 xml:space="preserve">in the sample to increase the precision of the indicators based on </w:t>
      </w:r>
      <w:r w:rsidR="009144EA" w:rsidRPr="00925091">
        <w:rPr>
          <w:rFonts w:asciiTheme="majorHAnsi" w:hAnsiTheme="majorHAnsi" w:cstheme="majorHAnsi"/>
          <w:szCs w:val="22"/>
          <w:lang w:val="en-GB"/>
        </w:rPr>
        <w:t xml:space="preserve">children </w:t>
      </w:r>
      <w:r w:rsidRPr="00925091">
        <w:rPr>
          <w:rFonts w:asciiTheme="majorHAnsi" w:hAnsiTheme="majorHAnsi" w:cstheme="majorHAnsi"/>
          <w:szCs w:val="22"/>
          <w:lang w:val="en-GB"/>
        </w:rPr>
        <w:t>under</w:t>
      </w:r>
      <w:r w:rsidR="009144EA">
        <w:rPr>
          <w:rFonts w:asciiTheme="majorHAnsi" w:hAnsiTheme="majorHAnsi" w:cstheme="majorHAnsi"/>
          <w:szCs w:val="22"/>
          <w:lang w:val="en-GB"/>
        </w:rPr>
        <w:t xml:space="preserve"> five</w:t>
      </w:r>
      <w:r w:rsidRPr="00925091">
        <w:rPr>
          <w:rFonts w:asciiTheme="majorHAnsi" w:hAnsiTheme="majorHAnsi" w:cstheme="majorHAnsi"/>
          <w:szCs w:val="22"/>
          <w:lang w:val="en-GB"/>
        </w:rPr>
        <w:t>.</w:t>
      </w:r>
    </w:p>
    <w:p w14:paraId="4EFCA9A9" w14:textId="636F016A" w:rsidR="000A02EE"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Of the 20 households selected in each cluster, the target number of sample households with children under </w:t>
      </w:r>
      <w:r w:rsidR="009144EA">
        <w:rPr>
          <w:rFonts w:asciiTheme="majorHAnsi" w:hAnsiTheme="majorHAnsi" w:cstheme="majorHAnsi"/>
          <w:szCs w:val="22"/>
          <w:lang w:val="en-GB"/>
        </w:rPr>
        <w:t>five</w:t>
      </w:r>
      <w:r w:rsidRPr="00925091">
        <w:rPr>
          <w:rFonts w:asciiTheme="majorHAnsi" w:hAnsiTheme="majorHAnsi" w:cstheme="majorHAnsi"/>
          <w:szCs w:val="22"/>
          <w:lang w:val="en-GB"/>
        </w:rPr>
        <w:t xml:space="preserve"> was 10. Therefore, in sample clusters where more than 10 households with children under age </w:t>
      </w:r>
      <w:r w:rsidR="009144EA">
        <w:rPr>
          <w:rFonts w:asciiTheme="majorHAnsi" w:hAnsiTheme="majorHAnsi" w:cstheme="majorHAnsi"/>
          <w:szCs w:val="22"/>
          <w:lang w:val="en-GB"/>
        </w:rPr>
        <w:t xml:space="preserve">five </w:t>
      </w:r>
      <w:r w:rsidRPr="00925091">
        <w:rPr>
          <w:rFonts w:asciiTheme="majorHAnsi" w:hAnsiTheme="majorHAnsi" w:cstheme="majorHAnsi"/>
          <w:szCs w:val="22"/>
          <w:lang w:val="en-GB"/>
        </w:rPr>
        <w:t xml:space="preserve">were listed, 10 of these households were selected using random systematic sampling; and 10 households without children under age </w:t>
      </w:r>
      <w:r w:rsidR="009144EA">
        <w:rPr>
          <w:rFonts w:asciiTheme="majorHAnsi" w:hAnsiTheme="majorHAnsi" w:cstheme="majorHAnsi"/>
          <w:szCs w:val="22"/>
          <w:lang w:val="en-GB"/>
        </w:rPr>
        <w:t>five</w:t>
      </w:r>
      <w:r w:rsidR="009144EA"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were selected from the stratum</w:t>
      </w:r>
      <w:r w:rsidR="000A02EE" w:rsidRPr="00925091">
        <w:rPr>
          <w:rFonts w:asciiTheme="majorHAnsi" w:hAnsiTheme="majorHAnsi" w:cstheme="majorHAnsi"/>
          <w:szCs w:val="22"/>
          <w:lang w:val="en-GB"/>
        </w:rPr>
        <w:t xml:space="preserve"> of households without children</w:t>
      </w:r>
      <w:r w:rsidRPr="00925091">
        <w:rPr>
          <w:rFonts w:asciiTheme="majorHAnsi" w:hAnsiTheme="majorHAnsi" w:cstheme="majorHAnsi"/>
          <w:szCs w:val="22"/>
          <w:lang w:val="en-GB"/>
        </w:rPr>
        <w:t xml:space="preserve">. In sample clusters where 10 or </w:t>
      </w:r>
      <w:r w:rsidR="009144EA">
        <w:rPr>
          <w:rFonts w:asciiTheme="majorHAnsi" w:hAnsiTheme="majorHAnsi" w:cstheme="majorHAnsi"/>
          <w:szCs w:val="22"/>
          <w:lang w:val="en-GB"/>
        </w:rPr>
        <w:t>fewer</w:t>
      </w:r>
      <w:r w:rsidR="009144EA"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 xml:space="preserve">households with children under </w:t>
      </w:r>
      <w:r w:rsidR="009144EA">
        <w:rPr>
          <w:rFonts w:asciiTheme="majorHAnsi" w:hAnsiTheme="majorHAnsi" w:cstheme="majorHAnsi"/>
          <w:szCs w:val="22"/>
          <w:lang w:val="en-GB"/>
        </w:rPr>
        <w:t>five</w:t>
      </w:r>
      <w:r w:rsidR="009144EA"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 xml:space="preserve">were listed, all of these households were selected for the survey. In these clusters, the number of households without children under </w:t>
      </w:r>
      <w:r w:rsidR="009144EA">
        <w:rPr>
          <w:rFonts w:asciiTheme="majorHAnsi" w:hAnsiTheme="majorHAnsi" w:cstheme="majorHAnsi"/>
          <w:szCs w:val="22"/>
          <w:lang w:val="en-GB"/>
        </w:rPr>
        <w:t>five</w:t>
      </w:r>
      <w:r w:rsidR="009144EA"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to be selected was equal to 20 minus the number of households with children.</w:t>
      </w:r>
      <w:r w:rsidR="000F0EF0" w:rsidRPr="00925091">
        <w:rPr>
          <w:rFonts w:asciiTheme="majorHAnsi" w:hAnsiTheme="majorHAnsi" w:cstheme="majorHAnsi"/>
          <w:szCs w:val="22"/>
          <w:lang w:val="en-GB"/>
        </w:rPr>
        <w:t xml:space="preserve"> </w:t>
      </w:r>
    </w:p>
    <w:p w14:paraId="04BFAFCA" w14:textId="7339DF6D" w:rsidR="007B0AEA" w:rsidRPr="00925091" w:rsidRDefault="000F0EF0"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During the data collection, </w:t>
      </w:r>
      <w:r w:rsidR="000A02EE" w:rsidRPr="00925091">
        <w:rPr>
          <w:rFonts w:asciiTheme="majorHAnsi" w:hAnsiTheme="majorHAnsi" w:cstheme="majorHAnsi"/>
          <w:szCs w:val="22"/>
          <w:lang w:val="en-GB"/>
        </w:rPr>
        <w:t>an addit</w:t>
      </w:r>
      <w:r w:rsidR="0030446C" w:rsidRPr="00925091">
        <w:rPr>
          <w:rFonts w:asciiTheme="majorHAnsi" w:hAnsiTheme="majorHAnsi" w:cstheme="majorHAnsi"/>
          <w:szCs w:val="22"/>
          <w:lang w:val="en-GB"/>
        </w:rPr>
        <w:t>i</w:t>
      </w:r>
      <w:r w:rsidR="000A02EE" w:rsidRPr="00925091">
        <w:rPr>
          <w:rFonts w:asciiTheme="majorHAnsi" w:hAnsiTheme="majorHAnsi" w:cstheme="majorHAnsi"/>
          <w:szCs w:val="22"/>
          <w:lang w:val="en-GB"/>
        </w:rPr>
        <w:t xml:space="preserve">onal </w:t>
      </w:r>
      <w:r w:rsidRPr="00925091">
        <w:rPr>
          <w:rFonts w:asciiTheme="majorHAnsi" w:hAnsiTheme="majorHAnsi" w:cstheme="majorHAnsi"/>
          <w:szCs w:val="22"/>
          <w:lang w:val="en-GB"/>
        </w:rPr>
        <w:t>103 households (20 with children under</w:t>
      </w:r>
      <w:r w:rsidR="009144EA">
        <w:rPr>
          <w:rFonts w:asciiTheme="majorHAnsi" w:hAnsiTheme="majorHAnsi" w:cstheme="majorHAnsi"/>
          <w:szCs w:val="22"/>
          <w:lang w:val="en-GB"/>
        </w:rPr>
        <w:t xml:space="preserve"> five</w:t>
      </w:r>
      <w:r w:rsidRPr="00925091">
        <w:rPr>
          <w:rFonts w:asciiTheme="majorHAnsi" w:hAnsiTheme="majorHAnsi" w:cstheme="majorHAnsi"/>
          <w:szCs w:val="22"/>
          <w:lang w:val="en-GB"/>
        </w:rPr>
        <w:t xml:space="preserve"> and 83 households without children under</w:t>
      </w:r>
      <w:r w:rsidR="009144EA">
        <w:rPr>
          <w:rFonts w:asciiTheme="majorHAnsi" w:hAnsiTheme="majorHAnsi" w:cstheme="majorHAnsi"/>
          <w:szCs w:val="22"/>
          <w:lang w:val="en-GB"/>
        </w:rPr>
        <w:t xml:space="preserve"> five</w:t>
      </w:r>
      <w:r w:rsidRPr="00925091">
        <w:rPr>
          <w:rFonts w:asciiTheme="majorHAnsi" w:hAnsiTheme="majorHAnsi" w:cstheme="majorHAnsi"/>
          <w:szCs w:val="22"/>
          <w:lang w:val="en-GB"/>
        </w:rPr>
        <w:t>) were included in the sample, where interviewers identified that two</w:t>
      </w:r>
      <w:r w:rsidR="000A02EE" w:rsidRPr="00925091">
        <w:rPr>
          <w:rFonts w:asciiTheme="majorHAnsi" w:hAnsiTheme="majorHAnsi" w:cstheme="majorHAnsi"/>
          <w:szCs w:val="22"/>
          <w:lang w:val="en-GB"/>
        </w:rPr>
        <w:t xml:space="preserve"> </w:t>
      </w:r>
      <w:r w:rsidR="008C298B" w:rsidRPr="00925091">
        <w:rPr>
          <w:rFonts w:asciiTheme="majorHAnsi" w:hAnsiTheme="majorHAnsi" w:cstheme="majorHAnsi"/>
          <w:szCs w:val="22"/>
          <w:lang w:val="en-GB"/>
        </w:rPr>
        <w:t xml:space="preserve">or more </w:t>
      </w:r>
      <w:r w:rsidRPr="00925091">
        <w:rPr>
          <w:rFonts w:asciiTheme="majorHAnsi" w:hAnsiTheme="majorHAnsi" w:cstheme="majorHAnsi"/>
          <w:szCs w:val="22"/>
          <w:lang w:val="en-GB"/>
        </w:rPr>
        <w:t>households were living in the</w:t>
      </w:r>
      <w:r w:rsidR="000A02EE"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 xml:space="preserve">dwelling, instead of </w:t>
      </w:r>
      <w:r w:rsidR="000A02EE" w:rsidRPr="00925091">
        <w:rPr>
          <w:rFonts w:asciiTheme="majorHAnsi" w:hAnsiTheme="majorHAnsi" w:cstheme="majorHAnsi"/>
          <w:szCs w:val="22"/>
          <w:lang w:val="en-GB"/>
        </w:rPr>
        <w:t xml:space="preserve">only </w:t>
      </w:r>
      <w:r w:rsidR="009144EA" w:rsidRPr="00925091">
        <w:rPr>
          <w:rFonts w:asciiTheme="majorHAnsi" w:hAnsiTheme="majorHAnsi" w:cstheme="majorHAnsi"/>
          <w:szCs w:val="22"/>
          <w:lang w:val="en-GB"/>
        </w:rPr>
        <w:t xml:space="preserve">the </w:t>
      </w:r>
      <w:r w:rsidRPr="00925091">
        <w:rPr>
          <w:rFonts w:asciiTheme="majorHAnsi" w:hAnsiTheme="majorHAnsi" w:cstheme="majorHAnsi"/>
          <w:szCs w:val="22"/>
          <w:lang w:val="en-GB"/>
        </w:rPr>
        <w:t>one listed.</w:t>
      </w:r>
    </w:p>
    <w:p w14:paraId="536B2E17" w14:textId="77777777" w:rsidR="00E25A8C" w:rsidRPr="00925091" w:rsidRDefault="00E25A8C" w:rsidP="00F00395">
      <w:pPr>
        <w:pStyle w:val="Heading2"/>
        <w:numPr>
          <w:ilvl w:val="0"/>
          <w:numId w:val="13"/>
        </w:numPr>
        <w:spacing w:before="0" w:line="269" w:lineRule="auto"/>
        <w:ind w:left="360"/>
        <w:rPr>
          <w:rStyle w:val="2H"/>
          <w:rFonts w:asciiTheme="majorHAnsi" w:hAnsiTheme="majorHAnsi" w:cstheme="majorHAnsi"/>
          <w:b w:val="0"/>
          <w:bCs/>
          <w:sz w:val="20"/>
          <w:szCs w:val="18"/>
          <w:lang w:val="en-GB"/>
        </w:rPr>
      </w:pPr>
      <w:bookmarkStart w:id="14" w:name="_Toc45462986"/>
      <w:bookmarkStart w:id="15" w:name="_Toc45463524"/>
      <w:bookmarkStart w:id="16" w:name="_Toc46777524"/>
      <w:bookmarkStart w:id="17" w:name="_Toc47016613"/>
      <w:bookmarkStart w:id="18" w:name="_Toc52987336"/>
      <w:bookmarkEnd w:id="14"/>
      <w:bookmarkEnd w:id="15"/>
      <w:bookmarkEnd w:id="16"/>
      <w:bookmarkEnd w:id="17"/>
      <w:r w:rsidRPr="00925091">
        <w:rPr>
          <w:rStyle w:val="2H"/>
          <w:rFonts w:asciiTheme="majorHAnsi" w:hAnsiTheme="majorHAnsi" w:cstheme="majorHAnsi"/>
          <w:b w:val="0"/>
          <w:bCs/>
          <w:sz w:val="20"/>
          <w:szCs w:val="18"/>
          <w:lang w:val="en-GB"/>
        </w:rPr>
        <w:t>Calculation of sample weights</w:t>
      </w:r>
      <w:bookmarkEnd w:id="18"/>
    </w:p>
    <w:p w14:paraId="04E82755" w14:textId="0E3D3FED"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The 2019 Serbia MICS sample is not self-weighting, due to a disproportional allocation of the sample to the </w:t>
      </w:r>
      <w:r w:rsidR="000A02EE" w:rsidRPr="00925091">
        <w:rPr>
          <w:rFonts w:asciiTheme="majorHAnsi" w:hAnsiTheme="majorHAnsi" w:cstheme="majorHAnsi"/>
          <w:szCs w:val="22"/>
          <w:lang w:val="en-GB"/>
        </w:rPr>
        <w:t>strata</w:t>
      </w:r>
      <w:r w:rsidRPr="00925091">
        <w:rPr>
          <w:rFonts w:asciiTheme="majorHAnsi" w:hAnsiTheme="majorHAnsi" w:cstheme="majorHAnsi"/>
          <w:szCs w:val="22"/>
          <w:lang w:val="en-GB"/>
        </w:rPr>
        <w:t xml:space="preserve">, </w:t>
      </w:r>
      <w:r w:rsidR="000A02EE" w:rsidRPr="00925091">
        <w:rPr>
          <w:rFonts w:asciiTheme="majorHAnsi" w:hAnsiTheme="majorHAnsi" w:cstheme="majorHAnsi"/>
          <w:szCs w:val="22"/>
          <w:lang w:val="en-GB"/>
        </w:rPr>
        <w:t xml:space="preserve">the oversampling strategy </w:t>
      </w:r>
      <w:r w:rsidRPr="00925091">
        <w:rPr>
          <w:rFonts w:asciiTheme="majorHAnsi" w:hAnsiTheme="majorHAnsi" w:cstheme="majorHAnsi"/>
          <w:szCs w:val="22"/>
          <w:lang w:val="en-GB"/>
        </w:rPr>
        <w:t xml:space="preserve">of households with children under </w:t>
      </w:r>
      <w:r w:rsidR="009144EA">
        <w:rPr>
          <w:rFonts w:asciiTheme="majorHAnsi" w:hAnsiTheme="majorHAnsi" w:cstheme="majorHAnsi"/>
          <w:szCs w:val="22"/>
          <w:lang w:val="en-GB"/>
        </w:rPr>
        <w:t>five</w:t>
      </w:r>
      <w:r w:rsidR="009144EA"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 xml:space="preserve">and </w:t>
      </w:r>
      <w:r w:rsidR="000A02EE" w:rsidRPr="00925091">
        <w:rPr>
          <w:rFonts w:asciiTheme="majorHAnsi" w:hAnsiTheme="majorHAnsi" w:cstheme="majorHAnsi"/>
          <w:szCs w:val="22"/>
          <w:lang w:val="en-GB"/>
        </w:rPr>
        <w:t xml:space="preserve">different </w:t>
      </w:r>
      <w:r w:rsidRPr="00925091">
        <w:rPr>
          <w:rFonts w:asciiTheme="majorHAnsi" w:hAnsiTheme="majorHAnsi" w:cstheme="majorHAnsi"/>
          <w:szCs w:val="22"/>
          <w:lang w:val="en-GB"/>
        </w:rPr>
        <w:t>response</w:t>
      </w:r>
      <w:r w:rsidR="000A02EE" w:rsidRPr="00925091">
        <w:rPr>
          <w:rFonts w:asciiTheme="majorHAnsi" w:hAnsiTheme="majorHAnsi" w:cstheme="majorHAnsi"/>
          <w:szCs w:val="22"/>
          <w:lang w:val="en-GB"/>
        </w:rPr>
        <w:t xml:space="preserve"> patterns among strata and individual data</w:t>
      </w:r>
      <w:r w:rsidRPr="00925091">
        <w:rPr>
          <w:rFonts w:asciiTheme="majorHAnsi" w:hAnsiTheme="majorHAnsi" w:cstheme="majorHAnsi"/>
          <w:szCs w:val="22"/>
          <w:lang w:val="en-GB"/>
        </w:rPr>
        <w:t xml:space="preserve">. In order to obtain representative results for Serbia, sample weights were </w:t>
      </w:r>
      <w:r w:rsidR="000A02EE" w:rsidRPr="00925091">
        <w:rPr>
          <w:rFonts w:asciiTheme="majorHAnsi" w:hAnsiTheme="majorHAnsi" w:cstheme="majorHAnsi"/>
          <w:szCs w:val="22"/>
          <w:lang w:val="en-GB"/>
        </w:rPr>
        <w:t>calculated as follows</w:t>
      </w:r>
      <w:r w:rsidRPr="00925091">
        <w:rPr>
          <w:rFonts w:asciiTheme="majorHAnsi" w:hAnsiTheme="majorHAnsi" w:cstheme="majorHAnsi"/>
          <w:szCs w:val="22"/>
          <w:lang w:val="en-GB"/>
        </w:rPr>
        <w:t>.</w:t>
      </w:r>
    </w:p>
    <w:p w14:paraId="5939A4A5" w14:textId="77777777"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The major component of the weight is the reciprocal of the sampling fraction employed in selecting the number of sample households in that particular sampling stratum (</w:t>
      </w:r>
      <w:r w:rsidRPr="00925091">
        <w:rPr>
          <w:rFonts w:asciiTheme="majorHAnsi" w:hAnsiTheme="majorHAnsi" w:cstheme="majorHAnsi"/>
          <w:i/>
          <w:szCs w:val="22"/>
          <w:lang w:val="en-GB"/>
        </w:rPr>
        <w:t>h</w:t>
      </w:r>
      <w:r w:rsidRPr="00925091">
        <w:rPr>
          <w:rFonts w:asciiTheme="majorHAnsi" w:hAnsiTheme="majorHAnsi" w:cstheme="majorHAnsi"/>
          <w:szCs w:val="22"/>
          <w:lang w:val="en-GB"/>
        </w:rPr>
        <w:t>) and PSU (</w:t>
      </w:r>
      <w:r w:rsidRPr="00925091">
        <w:rPr>
          <w:rFonts w:asciiTheme="majorHAnsi" w:hAnsiTheme="majorHAnsi" w:cstheme="majorHAnsi"/>
          <w:i/>
          <w:szCs w:val="22"/>
          <w:lang w:val="en-GB"/>
        </w:rPr>
        <w:t>i</w:t>
      </w:r>
      <w:r w:rsidRPr="00925091">
        <w:rPr>
          <w:rFonts w:asciiTheme="majorHAnsi" w:hAnsiTheme="majorHAnsi" w:cstheme="majorHAnsi"/>
          <w:szCs w:val="22"/>
          <w:lang w:val="en-GB"/>
        </w:rPr>
        <w:t>):</w:t>
      </w:r>
    </w:p>
    <w:p w14:paraId="136E33B2" w14:textId="77777777" w:rsidR="007B0AEA" w:rsidRPr="00925091" w:rsidRDefault="0033107F" w:rsidP="007B0AEA">
      <w:pPr>
        <w:pStyle w:val="ListParagraph"/>
        <w:spacing w:line="269" w:lineRule="auto"/>
        <w:jc w:val="center"/>
        <w:rPr>
          <w:rFonts w:asciiTheme="majorHAnsi" w:hAnsiTheme="majorHAnsi" w:cstheme="majorHAnsi"/>
          <w:i/>
          <w:lang w:val="en-GB"/>
        </w:rPr>
      </w:pPr>
      <w:r w:rsidRPr="0033107F">
        <w:rPr>
          <w:noProof/>
          <w:lang w:val="en-GB"/>
        </w:rPr>
        <w:object w:dxaOrig="980" w:dyaOrig="680" w14:anchorId="29E13607">
          <v:shape id="_x0000_i1026" type="#_x0000_t75" alt="" style="width:47.25pt;height:37.5pt;mso-width-percent:0;mso-height-percent:0;mso-width-percent:0;mso-height-percent:0" o:ole="">
            <v:imagedata r:id="rId10" o:title=""/>
          </v:shape>
          <o:OLEObject Type="Embed" ProgID="Equation.3" ShapeID="_x0000_i1026" DrawAspect="Content" ObjectID="_1666521034" r:id="rId11"/>
        </w:object>
      </w:r>
    </w:p>
    <w:p w14:paraId="05C200C5" w14:textId="77777777"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The term </w:t>
      </w:r>
      <w:r w:rsidRPr="00925091">
        <w:rPr>
          <w:rFonts w:asciiTheme="majorHAnsi" w:hAnsiTheme="majorHAnsi" w:cstheme="majorHAnsi"/>
          <w:i/>
          <w:szCs w:val="22"/>
          <w:lang w:val="en-GB"/>
        </w:rPr>
        <w:t>f</w:t>
      </w:r>
      <w:r w:rsidRPr="00925091">
        <w:rPr>
          <w:rFonts w:asciiTheme="majorHAnsi" w:hAnsiTheme="majorHAnsi" w:cstheme="majorHAnsi"/>
          <w:i/>
          <w:szCs w:val="22"/>
          <w:vertAlign w:val="subscript"/>
          <w:lang w:val="en-GB"/>
        </w:rPr>
        <w:t>hi</w:t>
      </w:r>
      <w:r w:rsidRPr="00925091">
        <w:rPr>
          <w:rFonts w:asciiTheme="majorHAnsi" w:hAnsiTheme="majorHAnsi" w:cstheme="majorHAnsi"/>
          <w:szCs w:val="22"/>
          <w:lang w:val="en-GB"/>
        </w:rPr>
        <w:t xml:space="preserve">, the sampling probability for the </w:t>
      </w:r>
      <w:r w:rsidRPr="00925091">
        <w:rPr>
          <w:rFonts w:asciiTheme="majorHAnsi" w:hAnsiTheme="majorHAnsi" w:cstheme="majorHAnsi"/>
          <w:i/>
          <w:szCs w:val="22"/>
          <w:lang w:val="en-GB"/>
        </w:rPr>
        <w:t>i</w:t>
      </w:r>
      <w:r w:rsidRPr="00925091">
        <w:rPr>
          <w:rFonts w:asciiTheme="majorHAnsi" w:hAnsiTheme="majorHAnsi" w:cstheme="majorHAnsi"/>
          <w:szCs w:val="22"/>
          <w:lang w:val="en-GB"/>
        </w:rPr>
        <w:t xml:space="preserve">-th sample PSU in the </w:t>
      </w:r>
      <w:r w:rsidRPr="00925091">
        <w:rPr>
          <w:rFonts w:asciiTheme="majorHAnsi" w:hAnsiTheme="majorHAnsi" w:cstheme="majorHAnsi"/>
          <w:i/>
          <w:szCs w:val="22"/>
          <w:lang w:val="en-GB"/>
        </w:rPr>
        <w:t>h</w:t>
      </w:r>
      <w:r w:rsidRPr="00925091">
        <w:rPr>
          <w:rFonts w:asciiTheme="majorHAnsi" w:hAnsiTheme="majorHAnsi" w:cstheme="majorHAnsi"/>
          <w:szCs w:val="22"/>
          <w:lang w:val="en-GB"/>
        </w:rPr>
        <w:t>-th stratum, is the product of the probabilities of selection at every stage in each sampling stratum:</w:t>
      </w:r>
    </w:p>
    <w:p w14:paraId="7EA43584" w14:textId="77777777" w:rsidR="007B0AEA" w:rsidRPr="00925091" w:rsidRDefault="0033107F" w:rsidP="007B0AEA">
      <w:pPr>
        <w:pStyle w:val="ListParagraph"/>
        <w:spacing w:line="269" w:lineRule="auto"/>
        <w:jc w:val="center"/>
        <w:rPr>
          <w:rFonts w:asciiTheme="majorHAnsi" w:hAnsiTheme="majorHAnsi" w:cstheme="majorHAnsi"/>
          <w:i/>
          <w:lang w:val="en-GB"/>
        </w:rPr>
      </w:pPr>
      <w:r w:rsidRPr="0033107F">
        <w:rPr>
          <w:noProof/>
          <w:vertAlign w:val="subscript"/>
          <w:lang w:val="en-GB"/>
        </w:rPr>
        <w:object w:dxaOrig="2120" w:dyaOrig="360" w14:anchorId="591698BC">
          <v:shape id="_x0000_i1027" type="#_x0000_t75" alt="" style="width:109.5pt;height:20.25pt;mso-width-percent:0;mso-height-percent:0;mso-width-percent:0;mso-height-percent:0" o:ole="">
            <v:imagedata r:id="rId12" o:title=""/>
          </v:shape>
          <o:OLEObject Type="Embed" ProgID="Equation.3" ShapeID="_x0000_i1027" DrawAspect="Content" ObjectID="_1666521035" r:id="rId13"/>
        </w:object>
      </w:r>
      <w:r w:rsidR="007B0AEA" w:rsidRPr="00925091">
        <w:rPr>
          <w:rFonts w:asciiTheme="majorHAnsi" w:hAnsiTheme="majorHAnsi" w:cstheme="majorHAnsi"/>
          <w:i/>
          <w:lang w:val="en-GB"/>
        </w:rPr>
        <w:t>,</w:t>
      </w:r>
    </w:p>
    <w:p w14:paraId="7CA612BE" w14:textId="77777777"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lastRenderedPageBreak/>
        <w:t xml:space="preserve">where </w:t>
      </w:r>
      <w:r w:rsidRPr="00925091">
        <w:rPr>
          <w:rFonts w:asciiTheme="majorHAnsi" w:hAnsiTheme="majorHAnsi" w:cstheme="majorHAnsi"/>
          <w:i/>
          <w:szCs w:val="22"/>
          <w:lang w:val="en-GB"/>
        </w:rPr>
        <w:t>p</w:t>
      </w:r>
      <w:r w:rsidRPr="00925091">
        <w:rPr>
          <w:rFonts w:asciiTheme="majorHAnsi" w:hAnsiTheme="majorHAnsi" w:cstheme="majorHAnsi"/>
          <w:szCs w:val="22"/>
          <w:vertAlign w:val="subscript"/>
          <w:lang w:val="en-GB"/>
        </w:rPr>
        <w:t>s</w:t>
      </w:r>
      <w:r w:rsidRPr="00925091">
        <w:rPr>
          <w:rFonts w:asciiTheme="majorHAnsi" w:hAnsiTheme="majorHAnsi" w:cstheme="majorHAnsi"/>
          <w:i/>
          <w:szCs w:val="22"/>
          <w:vertAlign w:val="subscript"/>
          <w:lang w:val="en-GB"/>
        </w:rPr>
        <w:t>hi</w:t>
      </w:r>
      <w:r w:rsidRPr="00925091">
        <w:rPr>
          <w:rFonts w:asciiTheme="majorHAnsi" w:hAnsiTheme="majorHAnsi" w:cstheme="majorHAnsi"/>
          <w:szCs w:val="22"/>
          <w:lang w:val="en-GB"/>
        </w:rPr>
        <w:t xml:space="preserve"> is the probability of selection of the sampling unit at stage </w:t>
      </w:r>
      <w:r w:rsidRPr="00925091">
        <w:rPr>
          <w:rFonts w:asciiTheme="majorHAnsi" w:hAnsiTheme="majorHAnsi" w:cstheme="majorHAnsi"/>
          <w:i/>
          <w:szCs w:val="22"/>
          <w:lang w:val="en-GB"/>
        </w:rPr>
        <w:t>s</w:t>
      </w:r>
      <w:r w:rsidRPr="00925091">
        <w:rPr>
          <w:rFonts w:asciiTheme="majorHAnsi" w:hAnsiTheme="majorHAnsi" w:cstheme="majorHAnsi"/>
          <w:szCs w:val="22"/>
          <w:lang w:val="en-GB"/>
        </w:rPr>
        <w:t xml:space="preserve"> for the </w:t>
      </w:r>
      <w:r w:rsidRPr="00925091">
        <w:rPr>
          <w:rFonts w:asciiTheme="majorHAnsi" w:hAnsiTheme="majorHAnsi" w:cstheme="majorHAnsi"/>
          <w:i/>
          <w:szCs w:val="22"/>
          <w:lang w:val="en-GB"/>
        </w:rPr>
        <w:t>i</w:t>
      </w:r>
      <w:r w:rsidRPr="00925091">
        <w:rPr>
          <w:rFonts w:asciiTheme="majorHAnsi" w:hAnsiTheme="majorHAnsi" w:cstheme="majorHAnsi"/>
          <w:szCs w:val="22"/>
          <w:lang w:val="en-GB"/>
        </w:rPr>
        <w:t xml:space="preserve">-th sample PSU in the </w:t>
      </w:r>
      <w:r w:rsidRPr="00925091">
        <w:rPr>
          <w:rFonts w:asciiTheme="majorHAnsi" w:hAnsiTheme="majorHAnsi" w:cstheme="majorHAnsi"/>
          <w:i/>
          <w:szCs w:val="22"/>
          <w:lang w:val="en-GB"/>
        </w:rPr>
        <w:t>h</w:t>
      </w:r>
      <w:r w:rsidRPr="00925091">
        <w:rPr>
          <w:rFonts w:asciiTheme="majorHAnsi" w:hAnsiTheme="majorHAnsi" w:cstheme="majorHAnsi"/>
          <w:szCs w:val="22"/>
          <w:lang w:val="en-GB"/>
        </w:rPr>
        <w:t xml:space="preserve">-th sampling stratum. </w:t>
      </w:r>
    </w:p>
    <w:p w14:paraId="4A1F9805" w14:textId="0D332B01" w:rsidR="000A02EE"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The last stage probability of selection in each sample EA is different for households with and without children under </w:t>
      </w:r>
      <w:r w:rsidR="00441F95">
        <w:rPr>
          <w:rFonts w:asciiTheme="majorHAnsi" w:hAnsiTheme="majorHAnsi" w:cstheme="majorHAnsi"/>
          <w:szCs w:val="22"/>
          <w:lang w:val="en-GB"/>
        </w:rPr>
        <w:t>five</w:t>
      </w:r>
      <w:r w:rsidRPr="00925091">
        <w:rPr>
          <w:rFonts w:asciiTheme="majorHAnsi" w:hAnsiTheme="majorHAnsi" w:cstheme="majorHAnsi"/>
          <w:szCs w:val="22"/>
          <w:lang w:val="en-GB"/>
        </w:rPr>
        <w:t xml:space="preserve">. For this reason, separate weights were calculated for each group of households </w:t>
      </w:r>
      <w:r w:rsidR="000A02EE" w:rsidRPr="00925091">
        <w:rPr>
          <w:rFonts w:asciiTheme="majorHAnsi" w:hAnsiTheme="majorHAnsi" w:cstheme="majorHAnsi"/>
          <w:szCs w:val="22"/>
          <w:lang w:val="en-GB"/>
        </w:rPr>
        <w:t xml:space="preserve">(with and without children under </w:t>
      </w:r>
      <w:r w:rsidR="00441F95">
        <w:rPr>
          <w:rFonts w:asciiTheme="majorHAnsi" w:hAnsiTheme="majorHAnsi" w:cstheme="majorHAnsi"/>
          <w:szCs w:val="22"/>
          <w:lang w:val="en-GB"/>
        </w:rPr>
        <w:t>five</w:t>
      </w:r>
      <w:r w:rsidR="000A02EE"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 xml:space="preserve">in the sample EA. </w:t>
      </w:r>
    </w:p>
    <w:p w14:paraId="280B4D29" w14:textId="7F05862C" w:rsidR="007B0AEA" w:rsidRPr="00925091" w:rsidRDefault="007B0AEA" w:rsidP="000A02EE">
      <w:pPr>
        <w:rPr>
          <w:rFonts w:asciiTheme="majorHAnsi" w:hAnsiTheme="majorHAnsi" w:cstheme="majorHAnsi"/>
          <w:lang w:val="en-GB"/>
        </w:rPr>
      </w:pPr>
      <w:r w:rsidRPr="00925091">
        <w:rPr>
          <w:rFonts w:asciiTheme="majorHAnsi" w:hAnsiTheme="majorHAnsi" w:cstheme="majorHAnsi"/>
          <w:szCs w:val="22"/>
          <w:lang w:val="en-GB"/>
        </w:rPr>
        <w:t xml:space="preserve">Based on the stratified multi-stage sample design, the probability of selection for the sample households with children under </w:t>
      </w:r>
      <w:r w:rsidR="00441F95">
        <w:rPr>
          <w:rFonts w:asciiTheme="majorHAnsi" w:hAnsiTheme="majorHAnsi" w:cstheme="majorHAnsi"/>
          <w:szCs w:val="22"/>
          <w:lang w:val="en-GB"/>
        </w:rPr>
        <w:t>five</w:t>
      </w:r>
      <w:r w:rsidR="00441F95"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 xml:space="preserve">within a sample EA was calculated as follows: </w:t>
      </w:r>
    </w:p>
    <w:p w14:paraId="549BECF1" w14:textId="77777777" w:rsidR="007B0AEA" w:rsidRPr="00925091" w:rsidRDefault="0033107F" w:rsidP="007B0AEA">
      <w:pPr>
        <w:pStyle w:val="NoSpacing"/>
        <w:spacing w:line="269" w:lineRule="auto"/>
        <w:ind w:firstLine="720"/>
        <w:jc w:val="center"/>
        <w:rPr>
          <w:rFonts w:asciiTheme="majorHAnsi" w:hAnsiTheme="majorHAnsi" w:cstheme="majorHAnsi"/>
          <w:lang w:val="en-GB"/>
        </w:rPr>
      </w:pPr>
      <w:r w:rsidRPr="0033107F">
        <w:rPr>
          <w:rFonts w:asciiTheme="majorHAnsi" w:hAnsiTheme="majorHAnsi" w:cstheme="majorHAnsi"/>
          <w:noProof/>
          <w:position w:val="-32"/>
          <w:lang w:val="en-GB"/>
        </w:rPr>
        <w:object w:dxaOrig="3320" w:dyaOrig="720" w14:anchorId="5FD8410F">
          <v:shape id="_x0000_i1028" type="#_x0000_t75" alt="" style="width:168.75pt;height:36.75pt;mso-width-percent:0;mso-height-percent:0;mso-width-percent:0;mso-height-percent:0" o:ole="">
            <v:imagedata r:id="rId14" o:title=""/>
          </v:shape>
          <o:OLEObject Type="Embed" ProgID="Equation.3" ShapeID="_x0000_i1028" DrawAspect="Content" ObjectID="_1666521036" r:id="rId15"/>
        </w:object>
      </w:r>
      <w:r w:rsidR="007B0AEA" w:rsidRPr="00925091">
        <w:rPr>
          <w:rFonts w:asciiTheme="majorHAnsi" w:hAnsiTheme="majorHAnsi" w:cstheme="majorHAnsi"/>
          <w:lang w:val="en-GB"/>
        </w:rPr>
        <w:t>,</w:t>
      </w:r>
    </w:p>
    <w:p w14:paraId="7CDDCB97" w14:textId="77777777" w:rsidR="007B0AEA" w:rsidRPr="00925091" w:rsidRDefault="007B0AEA" w:rsidP="007B0AEA">
      <w:pPr>
        <w:pStyle w:val="NoSpacing"/>
        <w:spacing w:line="269" w:lineRule="auto"/>
        <w:rPr>
          <w:rFonts w:asciiTheme="majorHAnsi" w:hAnsiTheme="majorHAnsi" w:cstheme="majorHAnsi"/>
          <w:lang w:val="en-GB"/>
        </w:rPr>
      </w:pPr>
      <w:r w:rsidRPr="00925091">
        <w:rPr>
          <w:rFonts w:asciiTheme="majorHAnsi" w:hAnsiTheme="majorHAnsi" w:cstheme="majorHAnsi"/>
          <w:lang w:val="en-GB"/>
        </w:rPr>
        <w:tab/>
        <w:t>where:</w:t>
      </w:r>
    </w:p>
    <w:p w14:paraId="63D84B3A" w14:textId="77777777" w:rsidR="007B0AEA" w:rsidRPr="00925091" w:rsidRDefault="007B0AEA" w:rsidP="007B0AEA">
      <w:pPr>
        <w:pStyle w:val="NoSpacing"/>
        <w:spacing w:line="269" w:lineRule="auto"/>
        <w:ind w:left="1710" w:hanging="990"/>
        <w:rPr>
          <w:rFonts w:asciiTheme="majorHAnsi" w:hAnsiTheme="majorHAnsi" w:cstheme="majorHAnsi"/>
          <w:lang w:val="en-GB"/>
        </w:rPr>
      </w:pPr>
      <w:r w:rsidRPr="00925091">
        <w:rPr>
          <w:rFonts w:asciiTheme="majorHAnsi" w:hAnsiTheme="majorHAnsi" w:cstheme="majorHAnsi"/>
          <w:i/>
          <w:lang w:val="en-GB"/>
        </w:rPr>
        <w:t>f</w:t>
      </w:r>
      <w:r w:rsidRPr="00925091">
        <w:rPr>
          <w:rFonts w:asciiTheme="majorHAnsi" w:hAnsiTheme="majorHAnsi" w:cstheme="majorHAnsi"/>
          <w:i/>
          <w:vertAlign w:val="subscript"/>
          <w:lang w:val="en-GB"/>
        </w:rPr>
        <w:t>hi(wc)</w:t>
      </w:r>
      <w:r w:rsidRPr="00925091">
        <w:rPr>
          <w:rFonts w:asciiTheme="majorHAnsi" w:hAnsiTheme="majorHAnsi" w:cstheme="majorHAnsi"/>
          <w:lang w:val="en-GB"/>
        </w:rPr>
        <w:t xml:space="preserve"> =</w:t>
      </w:r>
      <w:r w:rsidRPr="00925091">
        <w:rPr>
          <w:rFonts w:asciiTheme="majorHAnsi" w:hAnsiTheme="majorHAnsi" w:cstheme="majorHAnsi"/>
          <w:lang w:val="en-GB"/>
        </w:rPr>
        <w:tab/>
        <w:t xml:space="preserve">probability of selection for the sample households with children under 5 in the </w:t>
      </w:r>
    </w:p>
    <w:p w14:paraId="7BCAD525" w14:textId="77777777" w:rsidR="007B0AEA" w:rsidRPr="00925091" w:rsidRDefault="007B0AEA" w:rsidP="007B0AEA">
      <w:pPr>
        <w:pStyle w:val="NoSpacing"/>
        <w:spacing w:line="269" w:lineRule="auto"/>
        <w:ind w:left="1710"/>
        <w:rPr>
          <w:rFonts w:asciiTheme="majorHAnsi" w:hAnsiTheme="majorHAnsi" w:cstheme="majorHAnsi"/>
          <w:i/>
          <w:lang w:val="en-GB"/>
        </w:rPr>
      </w:pPr>
      <w:r w:rsidRPr="00925091">
        <w:rPr>
          <w:rFonts w:asciiTheme="majorHAnsi" w:hAnsiTheme="majorHAnsi" w:cstheme="majorHAnsi"/>
          <w:i/>
          <w:lang w:val="en-GB"/>
        </w:rPr>
        <w:t>i</w:t>
      </w:r>
      <w:r w:rsidRPr="00925091">
        <w:rPr>
          <w:rFonts w:asciiTheme="majorHAnsi" w:hAnsiTheme="majorHAnsi" w:cstheme="majorHAnsi"/>
          <w:lang w:val="en-GB"/>
        </w:rPr>
        <w:t xml:space="preserve">-th sample PSU in stratum </w:t>
      </w:r>
      <w:r w:rsidRPr="00925091">
        <w:rPr>
          <w:rFonts w:asciiTheme="majorHAnsi" w:hAnsiTheme="majorHAnsi" w:cstheme="majorHAnsi"/>
          <w:i/>
          <w:lang w:val="en-GB"/>
        </w:rPr>
        <w:t>h</w:t>
      </w:r>
    </w:p>
    <w:p w14:paraId="2F5FEDEB" w14:textId="77777777" w:rsidR="007B0AEA" w:rsidRPr="00925091" w:rsidRDefault="007B0AEA" w:rsidP="007B0AEA">
      <w:pPr>
        <w:pStyle w:val="NoSpacing"/>
        <w:spacing w:line="269" w:lineRule="auto"/>
        <w:ind w:left="1710" w:hanging="990"/>
        <w:rPr>
          <w:rFonts w:asciiTheme="majorHAnsi" w:hAnsiTheme="majorHAnsi" w:cstheme="majorHAnsi"/>
          <w:i/>
          <w:lang w:val="en-GB"/>
        </w:rPr>
      </w:pPr>
      <w:r w:rsidRPr="00925091">
        <w:rPr>
          <w:rFonts w:asciiTheme="majorHAnsi" w:hAnsiTheme="majorHAnsi" w:cstheme="majorHAnsi"/>
          <w:i/>
          <w:lang w:val="en-GB"/>
        </w:rPr>
        <w:t>n</w:t>
      </w:r>
      <w:r w:rsidRPr="00925091">
        <w:rPr>
          <w:rFonts w:asciiTheme="majorHAnsi" w:hAnsiTheme="majorHAnsi" w:cstheme="majorHAnsi"/>
          <w:i/>
          <w:vertAlign w:val="subscript"/>
          <w:lang w:val="en-GB"/>
        </w:rPr>
        <w:t>h</w:t>
      </w:r>
      <w:r w:rsidRPr="00925091">
        <w:rPr>
          <w:rFonts w:asciiTheme="majorHAnsi" w:hAnsiTheme="majorHAnsi" w:cstheme="majorHAnsi"/>
          <w:lang w:val="en-GB"/>
        </w:rPr>
        <w:t xml:space="preserve"> =</w:t>
      </w:r>
      <w:r w:rsidRPr="00925091">
        <w:rPr>
          <w:rFonts w:asciiTheme="majorHAnsi" w:hAnsiTheme="majorHAnsi" w:cstheme="majorHAnsi"/>
          <w:lang w:val="en-GB"/>
        </w:rPr>
        <w:tab/>
        <w:t xml:space="preserve">number of sample PSUs selected in stratum </w:t>
      </w:r>
      <w:r w:rsidRPr="00925091">
        <w:rPr>
          <w:rFonts w:asciiTheme="majorHAnsi" w:hAnsiTheme="majorHAnsi" w:cstheme="majorHAnsi"/>
          <w:i/>
          <w:lang w:val="en-GB"/>
        </w:rPr>
        <w:t>h</w:t>
      </w:r>
    </w:p>
    <w:p w14:paraId="0E37256B" w14:textId="77777777" w:rsidR="007B0AEA" w:rsidRPr="00925091" w:rsidRDefault="007B0AEA" w:rsidP="007B0AEA">
      <w:pPr>
        <w:pStyle w:val="NoSpacing"/>
        <w:spacing w:line="269" w:lineRule="auto"/>
        <w:ind w:left="1710" w:hanging="990"/>
        <w:rPr>
          <w:rFonts w:asciiTheme="majorHAnsi" w:hAnsiTheme="majorHAnsi" w:cstheme="majorHAnsi"/>
          <w:i/>
          <w:lang w:val="en-GB"/>
        </w:rPr>
      </w:pPr>
      <w:r w:rsidRPr="00925091">
        <w:rPr>
          <w:rFonts w:asciiTheme="majorHAnsi" w:hAnsiTheme="majorHAnsi" w:cstheme="majorHAnsi"/>
          <w:i/>
          <w:lang w:val="en-GB"/>
        </w:rPr>
        <w:t>M</w:t>
      </w:r>
      <w:r w:rsidRPr="00925091">
        <w:rPr>
          <w:rFonts w:asciiTheme="majorHAnsi" w:hAnsiTheme="majorHAnsi" w:cstheme="majorHAnsi"/>
          <w:i/>
          <w:vertAlign w:val="subscript"/>
          <w:lang w:val="en-GB"/>
        </w:rPr>
        <w:t>hi</w:t>
      </w:r>
      <w:r w:rsidRPr="00925091">
        <w:rPr>
          <w:rFonts w:asciiTheme="majorHAnsi" w:hAnsiTheme="majorHAnsi" w:cstheme="majorHAnsi"/>
          <w:lang w:val="en-GB"/>
        </w:rPr>
        <w:t xml:space="preserve"> =</w:t>
      </w:r>
      <w:r w:rsidRPr="00925091">
        <w:rPr>
          <w:rFonts w:asciiTheme="majorHAnsi" w:hAnsiTheme="majorHAnsi" w:cstheme="majorHAnsi"/>
          <w:lang w:val="en-GB"/>
        </w:rPr>
        <w:tab/>
        <w:t>number of households in the 2011</w:t>
      </w:r>
      <w:r w:rsidRPr="00925091">
        <w:rPr>
          <w:rFonts w:asciiTheme="majorHAnsi" w:hAnsiTheme="majorHAnsi" w:cstheme="majorHAnsi"/>
          <w:color w:val="FF0000"/>
          <w:lang w:val="en-GB"/>
        </w:rPr>
        <w:t xml:space="preserve"> </w:t>
      </w:r>
      <w:r w:rsidRPr="00925091">
        <w:rPr>
          <w:rFonts w:asciiTheme="majorHAnsi" w:hAnsiTheme="majorHAnsi" w:cstheme="majorHAnsi"/>
          <w:lang w:val="en-GB"/>
        </w:rPr>
        <w:t xml:space="preserve">Census frame for the </w:t>
      </w:r>
      <w:r w:rsidRPr="00925091">
        <w:rPr>
          <w:rFonts w:asciiTheme="majorHAnsi" w:hAnsiTheme="majorHAnsi" w:cstheme="majorHAnsi"/>
          <w:i/>
          <w:lang w:val="en-GB"/>
        </w:rPr>
        <w:t>i</w:t>
      </w:r>
      <w:r w:rsidRPr="00925091">
        <w:rPr>
          <w:rFonts w:asciiTheme="majorHAnsi" w:hAnsiTheme="majorHAnsi" w:cstheme="majorHAnsi"/>
          <w:lang w:val="en-GB"/>
        </w:rPr>
        <w:t xml:space="preserve">-th sample PSU in stratum </w:t>
      </w:r>
      <w:r w:rsidRPr="00925091">
        <w:rPr>
          <w:rFonts w:asciiTheme="majorHAnsi" w:hAnsiTheme="majorHAnsi" w:cstheme="majorHAnsi"/>
          <w:i/>
          <w:lang w:val="en-GB"/>
        </w:rPr>
        <w:t>h</w:t>
      </w:r>
    </w:p>
    <w:p w14:paraId="74A33390" w14:textId="77777777" w:rsidR="007B0AEA" w:rsidRPr="00925091" w:rsidRDefault="007B0AEA" w:rsidP="007B0AEA">
      <w:pPr>
        <w:pStyle w:val="NoSpacing"/>
        <w:spacing w:line="269" w:lineRule="auto"/>
        <w:ind w:left="1710" w:hanging="990"/>
        <w:rPr>
          <w:rFonts w:asciiTheme="majorHAnsi" w:hAnsiTheme="majorHAnsi" w:cstheme="majorHAnsi"/>
          <w:i/>
          <w:lang w:val="en-GB"/>
        </w:rPr>
      </w:pPr>
      <w:r w:rsidRPr="00925091">
        <w:rPr>
          <w:rFonts w:asciiTheme="majorHAnsi" w:hAnsiTheme="majorHAnsi" w:cstheme="majorHAnsi"/>
          <w:i/>
          <w:lang w:val="en-GB"/>
        </w:rPr>
        <w:t>M</w:t>
      </w:r>
      <w:r w:rsidRPr="00925091">
        <w:rPr>
          <w:rFonts w:asciiTheme="majorHAnsi" w:hAnsiTheme="majorHAnsi" w:cstheme="majorHAnsi"/>
          <w:i/>
          <w:vertAlign w:val="subscript"/>
          <w:lang w:val="en-GB"/>
        </w:rPr>
        <w:t>h</w:t>
      </w:r>
      <w:r w:rsidRPr="00925091">
        <w:rPr>
          <w:rFonts w:asciiTheme="majorHAnsi" w:hAnsiTheme="majorHAnsi" w:cstheme="majorHAnsi"/>
          <w:lang w:val="en-GB"/>
        </w:rPr>
        <w:t xml:space="preserve"> =</w:t>
      </w:r>
      <w:r w:rsidRPr="00925091">
        <w:rPr>
          <w:rFonts w:asciiTheme="majorHAnsi" w:hAnsiTheme="majorHAnsi" w:cstheme="majorHAnsi"/>
          <w:lang w:val="en-GB"/>
        </w:rPr>
        <w:tab/>
        <w:t>total number of households in the 2011</w:t>
      </w:r>
      <w:r w:rsidRPr="00925091">
        <w:rPr>
          <w:rFonts w:asciiTheme="majorHAnsi" w:hAnsiTheme="majorHAnsi" w:cstheme="majorHAnsi"/>
          <w:color w:val="FF0000"/>
          <w:lang w:val="en-GB"/>
        </w:rPr>
        <w:t xml:space="preserve"> </w:t>
      </w:r>
      <w:r w:rsidRPr="00925091">
        <w:rPr>
          <w:rFonts w:asciiTheme="majorHAnsi" w:hAnsiTheme="majorHAnsi" w:cstheme="majorHAnsi"/>
          <w:lang w:val="en-GB"/>
        </w:rPr>
        <w:t>Census frame for stratum</w:t>
      </w:r>
      <w:r w:rsidRPr="00925091">
        <w:rPr>
          <w:rFonts w:asciiTheme="majorHAnsi" w:hAnsiTheme="majorHAnsi" w:cstheme="majorHAnsi"/>
          <w:i/>
          <w:lang w:val="en-GB"/>
        </w:rPr>
        <w:t xml:space="preserve"> h</w:t>
      </w:r>
    </w:p>
    <w:p w14:paraId="33FE1645" w14:textId="77777777" w:rsidR="007B0AEA" w:rsidRPr="00925091" w:rsidRDefault="007B0AEA" w:rsidP="007B0AEA">
      <w:pPr>
        <w:pStyle w:val="NoSpacing"/>
        <w:spacing w:line="269" w:lineRule="auto"/>
        <w:ind w:left="1710" w:hanging="990"/>
        <w:rPr>
          <w:rFonts w:asciiTheme="majorHAnsi" w:hAnsiTheme="majorHAnsi" w:cstheme="majorHAnsi"/>
          <w:i/>
          <w:lang w:val="en-GB"/>
        </w:rPr>
      </w:pPr>
      <w:r w:rsidRPr="00925091">
        <w:rPr>
          <w:rFonts w:asciiTheme="majorHAnsi" w:hAnsiTheme="majorHAnsi" w:cstheme="majorHAnsi"/>
          <w:i/>
          <w:lang w:val="en-GB"/>
        </w:rPr>
        <w:t>p</w:t>
      </w:r>
      <w:r w:rsidRPr="00925091">
        <w:rPr>
          <w:rFonts w:asciiTheme="majorHAnsi" w:hAnsiTheme="majorHAnsi" w:cstheme="majorHAnsi"/>
          <w:i/>
          <w:vertAlign w:val="subscript"/>
          <w:lang w:val="en-GB"/>
        </w:rPr>
        <w:t>2hi</w:t>
      </w:r>
      <w:r w:rsidRPr="00925091">
        <w:rPr>
          <w:rFonts w:asciiTheme="majorHAnsi" w:hAnsiTheme="majorHAnsi" w:cstheme="majorHAnsi"/>
          <w:lang w:val="en-GB"/>
        </w:rPr>
        <w:t xml:space="preserve"> =</w:t>
      </w:r>
      <w:r w:rsidRPr="00925091">
        <w:rPr>
          <w:rFonts w:asciiTheme="majorHAnsi" w:hAnsiTheme="majorHAnsi" w:cstheme="majorHAnsi"/>
          <w:lang w:val="en-GB"/>
        </w:rPr>
        <w:tab/>
        <w:t xml:space="preserve">proportion of the PSU listed in the </w:t>
      </w:r>
      <w:r w:rsidRPr="00925091">
        <w:rPr>
          <w:rFonts w:asciiTheme="majorHAnsi" w:hAnsiTheme="majorHAnsi" w:cstheme="majorHAnsi"/>
          <w:i/>
          <w:lang w:val="en-GB"/>
        </w:rPr>
        <w:t>i</w:t>
      </w:r>
      <w:r w:rsidRPr="00925091">
        <w:rPr>
          <w:rFonts w:asciiTheme="majorHAnsi" w:hAnsiTheme="majorHAnsi" w:cstheme="majorHAnsi"/>
          <w:lang w:val="en-GB"/>
        </w:rPr>
        <w:t xml:space="preserve">-th sample PSU in stratum </w:t>
      </w:r>
      <w:r w:rsidRPr="00925091">
        <w:rPr>
          <w:rFonts w:asciiTheme="majorHAnsi" w:hAnsiTheme="majorHAnsi" w:cstheme="majorHAnsi"/>
          <w:i/>
          <w:lang w:val="en-GB"/>
        </w:rPr>
        <w:t>h</w:t>
      </w:r>
      <w:r w:rsidRPr="00925091">
        <w:rPr>
          <w:rFonts w:asciiTheme="majorHAnsi" w:hAnsiTheme="majorHAnsi" w:cstheme="majorHAnsi"/>
          <w:lang w:val="en-GB"/>
        </w:rPr>
        <w:t xml:space="preserve"> (in the case of PSUs that were segmented); for non-segmented PSUs, </w:t>
      </w:r>
      <w:r w:rsidRPr="00925091">
        <w:rPr>
          <w:rFonts w:asciiTheme="majorHAnsi" w:hAnsiTheme="majorHAnsi" w:cstheme="majorHAnsi"/>
          <w:i/>
          <w:lang w:val="en-GB"/>
        </w:rPr>
        <w:t>p</w:t>
      </w:r>
      <w:r w:rsidRPr="00925091">
        <w:rPr>
          <w:rFonts w:asciiTheme="majorHAnsi" w:hAnsiTheme="majorHAnsi" w:cstheme="majorHAnsi"/>
          <w:i/>
          <w:vertAlign w:val="subscript"/>
          <w:lang w:val="en-GB"/>
        </w:rPr>
        <w:t>2hi</w:t>
      </w:r>
      <w:r w:rsidRPr="00925091">
        <w:rPr>
          <w:rFonts w:asciiTheme="majorHAnsi" w:hAnsiTheme="majorHAnsi" w:cstheme="majorHAnsi"/>
          <w:lang w:val="en-GB"/>
        </w:rPr>
        <w:t xml:space="preserve"> = 1</w:t>
      </w:r>
    </w:p>
    <w:p w14:paraId="35A931C1" w14:textId="11F94AC3" w:rsidR="007B0AEA" w:rsidRPr="00925091" w:rsidRDefault="007B0AEA" w:rsidP="007B0AEA">
      <w:pPr>
        <w:pStyle w:val="NoSpacing"/>
        <w:spacing w:line="269" w:lineRule="auto"/>
        <w:ind w:left="1710" w:hanging="990"/>
        <w:rPr>
          <w:rFonts w:asciiTheme="majorHAnsi" w:hAnsiTheme="majorHAnsi" w:cstheme="majorHAnsi"/>
          <w:i/>
          <w:lang w:val="en-GB"/>
        </w:rPr>
      </w:pPr>
      <w:r w:rsidRPr="00925091">
        <w:rPr>
          <w:rFonts w:asciiTheme="majorHAnsi" w:hAnsiTheme="majorHAnsi" w:cstheme="majorHAnsi"/>
          <w:i/>
          <w:lang w:val="en-GB"/>
        </w:rPr>
        <w:t>m</w:t>
      </w:r>
      <w:r w:rsidRPr="00925091">
        <w:rPr>
          <w:rFonts w:asciiTheme="majorHAnsi" w:hAnsiTheme="majorHAnsi" w:cstheme="majorHAnsi"/>
          <w:i/>
          <w:vertAlign w:val="subscript"/>
          <w:lang w:val="en-GB"/>
        </w:rPr>
        <w:t>hi(wc)</w:t>
      </w:r>
      <w:r w:rsidRPr="00925091">
        <w:rPr>
          <w:rFonts w:asciiTheme="majorHAnsi" w:hAnsiTheme="majorHAnsi" w:cstheme="majorHAnsi"/>
          <w:lang w:val="en-GB"/>
        </w:rPr>
        <w:t xml:space="preserve"> =</w:t>
      </w:r>
      <w:r w:rsidRPr="00925091">
        <w:rPr>
          <w:rFonts w:asciiTheme="majorHAnsi" w:hAnsiTheme="majorHAnsi" w:cstheme="majorHAnsi"/>
          <w:lang w:val="en-GB"/>
        </w:rPr>
        <w:tab/>
        <w:t xml:space="preserve">number of sample households with children under </w:t>
      </w:r>
      <w:r w:rsidR="00441F95">
        <w:rPr>
          <w:rFonts w:asciiTheme="majorHAnsi" w:hAnsiTheme="majorHAnsi" w:cstheme="majorHAnsi"/>
          <w:lang w:val="en-GB"/>
        </w:rPr>
        <w:t>five</w:t>
      </w:r>
      <w:r w:rsidR="00441F95" w:rsidRPr="00925091">
        <w:rPr>
          <w:rFonts w:asciiTheme="majorHAnsi" w:hAnsiTheme="majorHAnsi" w:cstheme="majorHAnsi"/>
          <w:lang w:val="en-GB"/>
        </w:rPr>
        <w:t xml:space="preserve"> </w:t>
      </w:r>
      <w:r w:rsidRPr="00925091">
        <w:rPr>
          <w:rFonts w:asciiTheme="majorHAnsi" w:hAnsiTheme="majorHAnsi" w:cstheme="majorHAnsi"/>
          <w:lang w:val="en-GB"/>
        </w:rPr>
        <w:t xml:space="preserve">selected in the </w:t>
      </w:r>
      <w:r w:rsidRPr="00925091">
        <w:rPr>
          <w:rFonts w:asciiTheme="majorHAnsi" w:hAnsiTheme="majorHAnsi" w:cstheme="majorHAnsi"/>
          <w:i/>
          <w:lang w:val="en-GB"/>
        </w:rPr>
        <w:t>i</w:t>
      </w:r>
      <w:r w:rsidRPr="00925091">
        <w:rPr>
          <w:rFonts w:asciiTheme="majorHAnsi" w:hAnsiTheme="majorHAnsi" w:cstheme="majorHAnsi"/>
          <w:lang w:val="en-GB"/>
        </w:rPr>
        <w:t xml:space="preserve">-th sample PSU in stratum </w:t>
      </w:r>
      <w:r w:rsidRPr="00925091">
        <w:rPr>
          <w:rFonts w:asciiTheme="majorHAnsi" w:hAnsiTheme="majorHAnsi" w:cstheme="majorHAnsi"/>
          <w:i/>
          <w:lang w:val="en-GB"/>
        </w:rPr>
        <w:t>h</w:t>
      </w:r>
    </w:p>
    <w:p w14:paraId="36E6870A" w14:textId="23B5C939" w:rsidR="007B0AEA" w:rsidRPr="00925091" w:rsidRDefault="007B0AEA" w:rsidP="007B0AEA">
      <w:pPr>
        <w:pStyle w:val="NoSpacing"/>
        <w:spacing w:line="269" w:lineRule="auto"/>
        <w:ind w:left="1710" w:hanging="990"/>
        <w:rPr>
          <w:rFonts w:asciiTheme="majorHAnsi" w:hAnsiTheme="majorHAnsi" w:cstheme="majorHAnsi"/>
          <w:i/>
          <w:lang w:val="en-GB"/>
        </w:rPr>
      </w:pPr>
      <w:r w:rsidRPr="00925091">
        <w:rPr>
          <w:rFonts w:asciiTheme="majorHAnsi" w:hAnsiTheme="majorHAnsi" w:cstheme="majorHAnsi"/>
          <w:i/>
          <w:lang w:val="en-GB"/>
        </w:rPr>
        <w:t>M'</w:t>
      </w:r>
      <w:r w:rsidRPr="00925091">
        <w:rPr>
          <w:rFonts w:asciiTheme="majorHAnsi" w:hAnsiTheme="majorHAnsi" w:cstheme="majorHAnsi"/>
          <w:i/>
          <w:vertAlign w:val="subscript"/>
          <w:lang w:val="en-GB"/>
        </w:rPr>
        <w:t>hi(wc)</w:t>
      </w:r>
      <w:r w:rsidRPr="00925091">
        <w:rPr>
          <w:rFonts w:asciiTheme="majorHAnsi" w:hAnsiTheme="majorHAnsi" w:cstheme="majorHAnsi"/>
          <w:lang w:val="en-GB"/>
        </w:rPr>
        <w:t xml:space="preserve"> =</w:t>
      </w:r>
      <w:r w:rsidRPr="00925091">
        <w:rPr>
          <w:rFonts w:asciiTheme="majorHAnsi" w:hAnsiTheme="majorHAnsi" w:cstheme="majorHAnsi"/>
          <w:lang w:val="en-GB"/>
        </w:rPr>
        <w:tab/>
        <w:t xml:space="preserve">total number of households with children under </w:t>
      </w:r>
      <w:r w:rsidR="00441F95">
        <w:rPr>
          <w:rFonts w:asciiTheme="majorHAnsi" w:hAnsiTheme="majorHAnsi" w:cstheme="majorHAnsi"/>
          <w:lang w:val="en-GB"/>
        </w:rPr>
        <w:t>five</w:t>
      </w:r>
      <w:r w:rsidR="00441F95" w:rsidRPr="00925091">
        <w:rPr>
          <w:rFonts w:asciiTheme="majorHAnsi" w:hAnsiTheme="majorHAnsi" w:cstheme="majorHAnsi"/>
          <w:lang w:val="en-GB"/>
        </w:rPr>
        <w:t xml:space="preserve"> </w:t>
      </w:r>
      <w:r w:rsidRPr="00925091">
        <w:rPr>
          <w:rFonts w:asciiTheme="majorHAnsi" w:hAnsiTheme="majorHAnsi" w:cstheme="majorHAnsi"/>
          <w:lang w:val="en-GB"/>
        </w:rPr>
        <w:t xml:space="preserve">listed in the </w:t>
      </w:r>
      <w:r w:rsidRPr="00925091">
        <w:rPr>
          <w:rFonts w:asciiTheme="majorHAnsi" w:hAnsiTheme="majorHAnsi" w:cstheme="majorHAnsi"/>
          <w:i/>
          <w:lang w:val="en-GB"/>
        </w:rPr>
        <w:t>i</w:t>
      </w:r>
      <w:r w:rsidRPr="00925091">
        <w:rPr>
          <w:rFonts w:asciiTheme="majorHAnsi" w:hAnsiTheme="majorHAnsi" w:cstheme="majorHAnsi"/>
          <w:lang w:val="en-GB"/>
        </w:rPr>
        <w:t xml:space="preserve">-th sample PSU in stratum </w:t>
      </w:r>
      <w:r w:rsidRPr="00925091">
        <w:rPr>
          <w:rFonts w:asciiTheme="majorHAnsi" w:hAnsiTheme="majorHAnsi" w:cstheme="majorHAnsi"/>
          <w:i/>
          <w:lang w:val="en-GB"/>
        </w:rPr>
        <w:t>h</w:t>
      </w:r>
    </w:p>
    <w:p w14:paraId="44D760E0" w14:textId="77777777" w:rsidR="007B0AEA" w:rsidRPr="00925091" w:rsidRDefault="007B0AEA" w:rsidP="007B0AEA">
      <w:pPr>
        <w:pStyle w:val="NoSpacing"/>
        <w:spacing w:line="269" w:lineRule="auto"/>
        <w:rPr>
          <w:rFonts w:asciiTheme="majorHAnsi" w:hAnsiTheme="majorHAnsi" w:cstheme="majorHAnsi"/>
          <w:lang w:val="en-GB"/>
        </w:rPr>
      </w:pPr>
      <w:r w:rsidRPr="00925091">
        <w:rPr>
          <w:rFonts w:asciiTheme="majorHAnsi" w:hAnsiTheme="majorHAnsi" w:cstheme="majorHAnsi"/>
          <w:lang w:val="en-GB"/>
        </w:rPr>
        <w:t>The corresponding overall probability of selection for the households without children was calculated as follows:</w:t>
      </w:r>
    </w:p>
    <w:p w14:paraId="15AC4DD7" w14:textId="77777777" w:rsidR="007B0AEA" w:rsidRPr="00925091" w:rsidRDefault="0033107F" w:rsidP="007B0AEA">
      <w:pPr>
        <w:pStyle w:val="NoSpacing"/>
        <w:spacing w:line="269" w:lineRule="auto"/>
        <w:jc w:val="center"/>
        <w:rPr>
          <w:rFonts w:asciiTheme="majorHAnsi" w:hAnsiTheme="majorHAnsi" w:cstheme="majorHAnsi"/>
          <w:lang w:val="en-GB"/>
        </w:rPr>
      </w:pPr>
      <w:r w:rsidRPr="0033107F">
        <w:rPr>
          <w:rFonts w:asciiTheme="majorHAnsi" w:hAnsiTheme="majorHAnsi" w:cstheme="majorHAnsi"/>
          <w:noProof/>
          <w:position w:val="-32"/>
          <w:lang w:val="en-GB"/>
        </w:rPr>
        <w:object w:dxaOrig="3500" w:dyaOrig="720" w14:anchorId="29014E69">
          <v:shape id="_x0000_i1029" type="#_x0000_t75" alt="" style="width:174.75pt;height:36.75pt;mso-width-percent:0;mso-height-percent:0;mso-width-percent:0;mso-height-percent:0" o:ole="">
            <v:imagedata r:id="rId16" o:title=""/>
          </v:shape>
          <o:OLEObject Type="Embed" ProgID="Equation.3" ShapeID="_x0000_i1029" DrawAspect="Content" ObjectID="_1666521037" r:id="rId17"/>
        </w:object>
      </w:r>
    </w:p>
    <w:p w14:paraId="0E32EA21" w14:textId="77777777" w:rsidR="007B0AEA" w:rsidRPr="00925091" w:rsidRDefault="007B0AEA" w:rsidP="007B0AEA">
      <w:pPr>
        <w:pStyle w:val="NoSpacing"/>
        <w:spacing w:line="269" w:lineRule="auto"/>
        <w:rPr>
          <w:rFonts w:asciiTheme="majorHAnsi" w:hAnsiTheme="majorHAnsi" w:cstheme="majorHAnsi"/>
          <w:lang w:val="en-GB"/>
        </w:rPr>
      </w:pPr>
      <w:r w:rsidRPr="00925091">
        <w:rPr>
          <w:rFonts w:asciiTheme="majorHAnsi" w:hAnsiTheme="majorHAnsi" w:cstheme="majorHAnsi"/>
          <w:lang w:val="en-GB"/>
        </w:rPr>
        <w:tab/>
        <w:t>where:</w:t>
      </w:r>
    </w:p>
    <w:p w14:paraId="524CB03B" w14:textId="0FF553E5" w:rsidR="007B0AEA" w:rsidRPr="00925091" w:rsidRDefault="007B0AEA" w:rsidP="007B0AEA">
      <w:pPr>
        <w:pStyle w:val="NoSpacing"/>
        <w:spacing w:line="269" w:lineRule="auto"/>
        <w:ind w:left="1710" w:hanging="990"/>
        <w:rPr>
          <w:rFonts w:asciiTheme="majorHAnsi" w:hAnsiTheme="majorHAnsi" w:cstheme="majorHAnsi"/>
          <w:i/>
          <w:lang w:val="en-GB"/>
        </w:rPr>
      </w:pPr>
      <w:r w:rsidRPr="00925091">
        <w:rPr>
          <w:rFonts w:asciiTheme="majorHAnsi" w:hAnsiTheme="majorHAnsi" w:cstheme="majorHAnsi"/>
          <w:i/>
          <w:lang w:val="en-GB"/>
        </w:rPr>
        <w:t>f</w:t>
      </w:r>
      <w:r w:rsidRPr="00925091">
        <w:rPr>
          <w:rFonts w:asciiTheme="majorHAnsi" w:hAnsiTheme="majorHAnsi" w:cstheme="majorHAnsi"/>
          <w:i/>
          <w:vertAlign w:val="subscript"/>
          <w:lang w:val="en-GB"/>
        </w:rPr>
        <w:t>hi(woc)</w:t>
      </w:r>
      <w:r w:rsidRPr="00925091">
        <w:rPr>
          <w:rFonts w:asciiTheme="majorHAnsi" w:hAnsiTheme="majorHAnsi" w:cstheme="majorHAnsi"/>
          <w:lang w:val="en-GB"/>
        </w:rPr>
        <w:t xml:space="preserve"> =</w:t>
      </w:r>
      <w:r w:rsidRPr="00925091">
        <w:rPr>
          <w:rFonts w:asciiTheme="majorHAnsi" w:hAnsiTheme="majorHAnsi" w:cstheme="majorHAnsi"/>
          <w:lang w:val="en-GB"/>
        </w:rPr>
        <w:tab/>
        <w:t xml:space="preserve">probability of selection for the sample households without children under </w:t>
      </w:r>
      <w:r w:rsidR="00441F95">
        <w:rPr>
          <w:rFonts w:asciiTheme="majorHAnsi" w:hAnsiTheme="majorHAnsi" w:cstheme="majorHAnsi"/>
          <w:lang w:val="en-GB"/>
        </w:rPr>
        <w:t>five</w:t>
      </w:r>
      <w:r w:rsidR="00441F95" w:rsidRPr="00925091">
        <w:rPr>
          <w:rFonts w:asciiTheme="majorHAnsi" w:hAnsiTheme="majorHAnsi" w:cstheme="majorHAnsi"/>
          <w:lang w:val="en-GB"/>
        </w:rPr>
        <w:t xml:space="preserve"> </w:t>
      </w:r>
      <w:r w:rsidRPr="00925091">
        <w:rPr>
          <w:rFonts w:asciiTheme="majorHAnsi" w:hAnsiTheme="majorHAnsi" w:cstheme="majorHAnsi"/>
          <w:lang w:val="en-GB"/>
        </w:rPr>
        <w:t xml:space="preserve">in the </w:t>
      </w:r>
      <w:r w:rsidRPr="00925091">
        <w:rPr>
          <w:rFonts w:asciiTheme="majorHAnsi" w:hAnsiTheme="majorHAnsi" w:cstheme="majorHAnsi"/>
          <w:i/>
          <w:lang w:val="en-GB"/>
        </w:rPr>
        <w:t>i</w:t>
      </w:r>
      <w:r w:rsidRPr="00925091">
        <w:rPr>
          <w:rFonts w:asciiTheme="majorHAnsi" w:hAnsiTheme="majorHAnsi" w:cstheme="majorHAnsi"/>
          <w:lang w:val="en-GB"/>
        </w:rPr>
        <w:t xml:space="preserve">-th sample PSU in stratum </w:t>
      </w:r>
      <w:r w:rsidRPr="00925091">
        <w:rPr>
          <w:rFonts w:asciiTheme="majorHAnsi" w:hAnsiTheme="majorHAnsi" w:cstheme="majorHAnsi"/>
          <w:i/>
          <w:lang w:val="en-GB"/>
        </w:rPr>
        <w:t>h</w:t>
      </w:r>
    </w:p>
    <w:p w14:paraId="6311A2C5" w14:textId="51A036E8" w:rsidR="007B0AEA" w:rsidRPr="00925091" w:rsidRDefault="007B0AEA" w:rsidP="007B0AEA">
      <w:pPr>
        <w:pStyle w:val="NoSpacing"/>
        <w:spacing w:line="269" w:lineRule="auto"/>
        <w:ind w:left="1710" w:hanging="990"/>
        <w:rPr>
          <w:rFonts w:asciiTheme="majorHAnsi" w:hAnsiTheme="majorHAnsi" w:cstheme="majorHAnsi"/>
          <w:i/>
          <w:lang w:val="en-GB"/>
        </w:rPr>
      </w:pPr>
      <w:r w:rsidRPr="00925091">
        <w:rPr>
          <w:rFonts w:asciiTheme="majorHAnsi" w:hAnsiTheme="majorHAnsi" w:cstheme="majorHAnsi"/>
          <w:i/>
          <w:lang w:val="en-GB"/>
        </w:rPr>
        <w:t>m</w:t>
      </w:r>
      <w:r w:rsidRPr="00925091">
        <w:rPr>
          <w:rFonts w:asciiTheme="majorHAnsi" w:hAnsiTheme="majorHAnsi" w:cstheme="majorHAnsi"/>
          <w:i/>
          <w:vertAlign w:val="subscript"/>
          <w:lang w:val="en-GB"/>
        </w:rPr>
        <w:t>hi(woc)</w:t>
      </w:r>
      <w:r w:rsidRPr="00925091">
        <w:rPr>
          <w:rFonts w:asciiTheme="majorHAnsi" w:hAnsiTheme="majorHAnsi" w:cstheme="majorHAnsi"/>
          <w:lang w:val="en-GB"/>
        </w:rPr>
        <w:t xml:space="preserve"> =</w:t>
      </w:r>
      <w:r w:rsidRPr="00925091">
        <w:rPr>
          <w:rFonts w:asciiTheme="majorHAnsi" w:hAnsiTheme="majorHAnsi" w:cstheme="majorHAnsi"/>
          <w:lang w:val="en-GB"/>
        </w:rPr>
        <w:tab/>
        <w:t xml:space="preserve">number of sample households without children under </w:t>
      </w:r>
      <w:r w:rsidR="00441F95">
        <w:rPr>
          <w:rFonts w:asciiTheme="majorHAnsi" w:hAnsiTheme="majorHAnsi" w:cstheme="majorHAnsi"/>
          <w:lang w:val="en-GB"/>
        </w:rPr>
        <w:t>five</w:t>
      </w:r>
      <w:r w:rsidR="00441F95" w:rsidRPr="00925091">
        <w:rPr>
          <w:rFonts w:asciiTheme="majorHAnsi" w:hAnsiTheme="majorHAnsi" w:cstheme="majorHAnsi"/>
          <w:lang w:val="en-GB"/>
        </w:rPr>
        <w:t xml:space="preserve"> </w:t>
      </w:r>
      <w:r w:rsidRPr="00925091">
        <w:rPr>
          <w:rFonts w:asciiTheme="majorHAnsi" w:hAnsiTheme="majorHAnsi" w:cstheme="majorHAnsi"/>
          <w:lang w:val="en-GB"/>
        </w:rPr>
        <w:t xml:space="preserve">selected in the </w:t>
      </w:r>
      <w:r w:rsidRPr="00925091">
        <w:rPr>
          <w:rFonts w:asciiTheme="majorHAnsi" w:hAnsiTheme="majorHAnsi" w:cstheme="majorHAnsi"/>
          <w:i/>
          <w:lang w:val="en-GB"/>
        </w:rPr>
        <w:t>i</w:t>
      </w:r>
      <w:r w:rsidRPr="00925091">
        <w:rPr>
          <w:rFonts w:asciiTheme="majorHAnsi" w:hAnsiTheme="majorHAnsi" w:cstheme="majorHAnsi"/>
          <w:lang w:val="en-GB"/>
        </w:rPr>
        <w:t xml:space="preserve">-th sample PSU in stratum </w:t>
      </w:r>
      <w:r w:rsidRPr="00925091">
        <w:rPr>
          <w:rFonts w:asciiTheme="majorHAnsi" w:hAnsiTheme="majorHAnsi" w:cstheme="majorHAnsi"/>
          <w:i/>
          <w:lang w:val="en-GB"/>
        </w:rPr>
        <w:t>h</w:t>
      </w:r>
    </w:p>
    <w:p w14:paraId="369E4984" w14:textId="0A673D66" w:rsidR="007B0AEA" w:rsidRPr="00925091" w:rsidRDefault="007B0AEA" w:rsidP="007B0AEA">
      <w:pPr>
        <w:pStyle w:val="NoSpacing"/>
        <w:spacing w:line="269" w:lineRule="auto"/>
        <w:ind w:left="1710" w:hanging="990"/>
        <w:rPr>
          <w:rFonts w:asciiTheme="majorHAnsi" w:hAnsiTheme="majorHAnsi" w:cstheme="majorHAnsi"/>
          <w:lang w:val="en-GB"/>
        </w:rPr>
      </w:pPr>
      <w:r w:rsidRPr="00925091">
        <w:rPr>
          <w:rFonts w:asciiTheme="majorHAnsi" w:hAnsiTheme="majorHAnsi" w:cstheme="majorHAnsi"/>
          <w:i/>
          <w:lang w:val="en-GB"/>
        </w:rPr>
        <w:t>M'</w:t>
      </w:r>
      <w:r w:rsidRPr="00925091">
        <w:rPr>
          <w:rFonts w:asciiTheme="majorHAnsi" w:hAnsiTheme="majorHAnsi" w:cstheme="majorHAnsi"/>
          <w:i/>
          <w:vertAlign w:val="subscript"/>
          <w:lang w:val="en-GB"/>
        </w:rPr>
        <w:t>hi(woc)</w:t>
      </w:r>
      <w:r w:rsidRPr="00925091">
        <w:rPr>
          <w:rFonts w:asciiTheme="majorHAnsi" w:hAnsiTheme="majorHAnsi" w:cstheme="majorHAnsi"/>
          <w:lang w:val="en-GB"/>
        </w:rPr>
        <w:t xml:space="preserve"> =</w:t>
      </w:r>
      <w:r w:rsidRPr="00925091">
        <w:rPr>
          <w:rFonts w:asciiTheme="majorHAnsi" w:hAnsiTheme="majorHAnsi" w:cstheme="majorHAnsi"/>
          <w:lang w:val="en-GB"/>
        </w:rPr>
        <w:tab/>
        <w:t xml:space="preserve">total number of households without children under </w:t>
      </w:r>
      <w:r w:rsidR="00441F95">
        <w:rPr>
          <w:rFonts w:asciiTheme="majorHAnsi" w:hAnsiTheme="majorHAnsi" w:cstheme="majorHAnsi"/>
          <w:lang w:val="en-GB"/>
        </w:rPr>
        <w:t>five</w:t>
      </w:r>
      <w:r w:rsidR="00441F95" w:rsidRPr="00925091">
        <w:rPr>
          <w:rFonts w:asciiTheme="majorHAnsi" w:hAnsiTheme="majorHAnsi" w:cstheme="majorHAnsi"/>
          <w:lang w:val="en-GB"/>
        </w:rPr>
        <w:t xml:space="preserve"> </w:t>
      </w:r>
      <w:r w:rsidRPr="00925091">
        <w:rPr>
          <w:rFonts w:asciiTheme="majorHAnsi" w:hAnsiTheme="majorHAnsi" w:cstheme="majorHAnsi"/>
          <w:lang w:val="en-GB"/>
        </w:rPr>
        <w:t xml:space="preserve">listed in the </w:t>
      </w:r>
      <w:r w:rsidRPr="00925091">
        <w:rPr>
          <w:rFonts w:asciiTheme="majorHAnsi" w:hAnsiTheme="majorHAnsi" w:cstheme="majorHAnsi"/>
          <w:i/>
          <w:lang w:val="en-GB"/>
        </w:rPr>
        <w:t>i</w:t>
      </w:r>
      <w:r w:rsidRPr="00925091">
        <w:rPr>
          <w:rFonts w:asciiTheme="majorHAnsi" w:hAnsiTheme="majorHAnsi" w:cstheme="majorHAnsi"/>
          <w:lang w:val="en-GB"/>
        </w:rPr>
        <w:t xml:space="preserve">-th sample PSU in stratum </w:t>
      </w:r>
      <w:r w:rsidRPr="00925091">
        <w:rPr>
          <w:rFonts w:asciiTheme="majorHAnsi" w:hAnsiTheme="majorHAnsi" w:cstheme="majorHAnsi"/>
          <w:i/>
          <w:lang w:val="en-GB"/>
        </w:rPr>
        <w:t>h</w:t>
      </w:r>
    </w:p>
    <w:p w14:paraId="022C5607" w14:textId="0113AC5C"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Since the number of households in each enumeration area (PSU) from the 2011 Census frame used for the first stage selection and the updated number of households in the EA from the listing are generally different, individual overall probabilities of selection for households in each sample EA (cluster) were calculated</w:t>
      </w:r>
      <w:r w:rsidR="00D908B0" w:rsidRPr="00925091">
        <w:rPr>
          <w:rFonts w:asciiTheme="majorHAnsi" w:hAnsiTheme="majorHAnsi" w:cstheme="majorHAnsi"/>
          <w:szCs w:val="22"/>
          <w:lang w:val="en-GB"/>
        </w:rPr>
        <w:t xml:space="preserve">, separately for households with and without children under </w:t>
      </w:r>
      <w:r w:rsidR="00441F95">
        <w:rPr>
          <w:rFonts w:asciiTheme="majorHAnsi" w:hAnsiTheme="majorHAnsi" w:cstheme="majorHAnsi"/>
          <w:szCs w:val="22"/>
          <w:lang w:val="en-GB"/>
        </w:rPr>
        <w:t>five</w:t>
      </w:r>
      <w:r w:rsidRPr="00925091">
        <w:rPr>
          <w:rFonts w:asciiTheme="majorHAnsi" w:hAnsiTheme="majorHAnsi" w:cstheme="majorHAnsi"/>
          <w:szCs w:val="22"/>
          <w:lang w:val="en-GB"/>
        </w:rPr>
        <w:t xml:space="preserve">. </w:t>
      </w:r>
    </w:p>
    <w:p w14:paraId="79ECF639" w14:textId="77777777"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A final component in the calculation of sample weights takes into account the level of non-response for the household and individual interviews. The adjustment for household non-response in each stratum is equal to:</w:t>
      </w:r>
    </w:p>
    <w:p w14:paraId="12AEE4F2" w14:textId="77777777" w:rsidR="007B0AEA" w:rsidRPr="00925091" w:rsidRDefault="0033107F" w:rsidP="007B0AEA">
      <w:pPr>
        <w:spacing w:line="269" w:lineRule="auto"/>
        <w:jc w:val="center"/>
        <w:rPr>
          <w:rFonts w:asciiTheme="majorHAnsi" w:hAnsiTheme="majorHAnsi" w:cstheme="majorHAnsi"/>
          <w:szCs w:val="22"/>
          <w:lang w:val="en-GB"/>
        </w:rPr>
      </w:pPr>
      <w:r w:rsidRPr="0033107F">
        <w:rPr>
          <w:rFonts w:asciiTheme="majorHAnsi" w:hAnsiTheme="majorHAnsi" w:cstheme="majorHAnsi"/>
          <w:i/>
          <w:noProof/>
          <w:position w:val="-30"/>
          <w:vertAlign w:val="subscript"/>
          <w:lang w:val="en-GB"/>
        </w:rPr>
        <w:object w:dxaOrig="499" w:dyaOrig="680" w14:anchorId="46A9B7F1">
          <v:shape id="_x0000_i1030" type="#_x0000_t75" alt="" style="width:24.75pt;height:37.5pt;mso-width-percent:0;mso-height-percent:0;mso-width-percent:0;mso-height-percent:0" o:ole="">
            <v:imagedata r:id="rId18" o:title=""/>
          </v:shape>
          <o:OLEObject Type="Embed" ProgID="Equation.3" ShapeID="_x0000_i1030" DrawAspect="Content" ObjectID="_1666521038" r:id="rId19"/>
        </w:object>
      </w:r>
    </w:p>
    <w:p w14:paraId="5A91C23F" w14:textId="77777777"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where </w:t>
      </w:r>
      <w:r w:rsidRPr="00925091">
        <w:rPr>
          <w:rFonts w:asciiTheme="majorHAnsi" w:hAnsiTheme="majorHAnsi" w:cstheme="majorHAnsi"/>
          <w:i/>
          <w:szCs w:val="22"/>
          <w:lang w:val="en-GB"/>
        </w:rPr>
        <w:t>RR</w:t>
      </w:r>
      <w:r w:rsidRPr="00925091">
        <w:rPr>
          <w:rFonts w:asciiTheme="majorHAnsi" w:hAnsiTheme="majorHAnsi" w:cstheme="majorHAnsi"/>
          <w:i/>
          <w:szCs w:val="22"/>
          <w:vertAlign w:val="subscript"/>
          <w:lang w:val="en-GB"/>
        </w:rPr>
        <w:t>h</w:t>
      </w:r>
      <w:r w:rsidRPr="00925091">
        <w:rPr>
          <w:rFonts w:asciiTheme="majorHAnsi" w:hAnsiTheme="majorHAnsi" w:cstheme="majorHAnsi"/>
          <w:szCs w:val="22"/>
          <w:lang w:val="en-GB"/>
        </w:rPr>
        <w:t xml:space="preserve"> is the response rate for the sample households in stratum </w:t>
      </w:r>
      <w:r w:rsidRPr="00925091">
        <w:rPr>
          <w:rFonts w:asciiTheme="majorHAnsi" w:hAnsiTheme="majorHAnsi" w:cstheme="majorHAnsi"/>
          <w:i/>
          <w:szCs w:val="22"/>
          <w:lang w:val="en-GB"/>
        </w:rPr>
        <w:t>h</w:t>
      </w:r>
      <w:r w:rsidRPr="00925091">
        <w:rPr>
          <w:rFonts w:asciiTheme="majorHAnsi" w:hAnsiTheme="majorHAnsi" w:cstheme="majorHAnsi"/>
          <w:szCs w:val="22"/>
          <w:lang w:val="en-GB"/>
        </w:rPr>
        <w:t xml:space="preserve">, defined as the proportion of the number of interviewed households in stratum </w:t>
      </w:r>
      <w:r w:rsidRPr="00925091">
        <w:rPr>
          <w:rFonts w:asciiTheme="majorHAnsi" w:hAnsiTheme="majorHAnsi" w:cstheme="majorHAnsi"/>
          <w:i/>
          <w:szCs w:val="22"/>
          <w:lang w:val="en-GB"/>
        </w:rPr>
        <w:t>h</w:t>
      </w:r>
      <w:r w:rsidRPr="00925091">
        <w:rPr>
          <w:rFonts w:asciiTheme="majorHAnsi" w:hAnsiTheme="majorHAnsi" w:cstheme="majorHAnsi"/>
          <w:szCs w:val="22"/>
          <w:lang w:val="en-GB"/>
        </w:rPr>
        <w:t xml:space="preserve"> out of the number of selected households found to be occupied during the fieldwork in stratum </w:t>
      </w:r>
      <w:r w:rsidRPr="00925091">
        <w:rPr>
          <w:rFonts w:asciiTheme="majorHAnsi" w:hAnsiTheme="majorHAnsi" w:cstheme="majorHAnsi"/>
          <w:i/>
          <w:szCs w:val="22"/>
          <w:lang w:val="en-GB"/>
        </w:rPr>
        <w:t>h</w:t>
      </w:r>
      <w:r w:rsidRPr="00925091">
        <w:rPr>
          <w:rFonts w:asciiTheme="majorHAnsi" w:hAnsiTheme="majorHAnsi" w:cstheme="majorHAnsi"/>
          <w:szCs w:val="22"/>
          <w:lang w:val="en-GB"/>
        </w:rPr>
        <w:t>.</w:t>
      </w:r>
    </w:p>
    <w:p w14:paraId="24D5DCC8" w14:textId="6AC7F3A6"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Similarly, adjustment for non-response at the individual level (women and </w:t>
      </w:r>
      <w:r w:rsidR="00441F95" w:rsidRPr="00925091">
        <w:rPr>
          <w:rFonts w:asciiTheme="majorHAnsi" w:hAnsiTheme="majorHAnsi" w:cstheme="majorHAnsi"/>
          <w:szCs w:val="22"/>
          <w:lang w:val="en-GB"/>
        </w:rPr>
        <w:t xml:space="preserve">children </w:t>
      </w:r>
      <w:r w:rsidRPr="00925091">
        <w:rPr>
          <w:rFonts w:asciiTheme="majorHAnsi" w:hAnsiTheme="majorHAnsi" w:cstheme="majorHAnsi"/>
          <w:szCs w:val="22"/>
          <w:lang w:val="en-GB"/>
        </w:rPr>
        <w:t>under</w:t>
      </w:r>
      <w:r w:rsidR="00441F95">
        <w:rPr>
          <w:rFonts w:asciiTheme="majorHAnsi" w:hAnsiTheme="majorHAnsi" w:cstheme="majorHAnsi"/>
          <w:szCs w:val="22"/>
          <w:lang w:val="en-GB"/>
        </w:rPr>
        <w:t xml:space="preserve"> five</w:t>
      </w:r>
      <w:r w:rsidRPr="00925091">
        <w:rPr>
          <w:rFonts w:asciiTheme="majorHAnsi" w:hAnsiTheme="majorHAnsi" w:cstheme="majorHAnsi"/>
          <w:szCs w:val="22"/>
          <w:lang w:val="en-GB"/>
        </w:rPr>
        <w:t>) for each stratum is equal to:</w:t>
      </w:r>
    </w:p>
    <w:p w14:paraId="3B839BBB" w14:textId="77777777" w:rsidR="007B0AEA" w:rsidRPr="00925091" w:rsidRDefault="0033107F" w:rsidP="007B0AEA">
      <w:pPr>
        <w:spacing w:line="269" w:lineRule="auto"/>
        <w:jc w:val="center"/>
        <w:rPr>
          <w:rFonts w:asciiTheme="majorHAnsi" w:hAnsiTheme="majorHAnsi" w:cstheme="majorHAnsi"/>
          <w:szCs w:val="22"/>
          <w:lang w:val="en-GB"/>
        </w:rPr>
      </w:pPr>
      <w:r w:rsidRPr="0033107F">
        <w:rPr>
          <w:rFonts w:asciiTheme="majorHAnsi" w:hAnsiTheme="majorHAnsi" w:cstheme="majorHAnsi"/>
          <w:i/>
          <w:noProof/>
          <w:position w:val="-32"/>
          <w:vertAlign w:val="subscript"/>
          <w:lang w:val="en-GB"/>
        </w:rPr>
        <w:object w:dxaOrig="580" w:dyaOrig="700" w14:anchorId="3E4AB6B8">
          <v:shape id="_x0000_i1031" type="#_x0000_t75" alt="" style="width:30.75pt;height:36.75pt;mso-width-percent:0;mso-height-percent:0;mso-width-percent:0;mso-height-percent:0" o:ole="">
            <v:imagedata r:id="rId20" o:title=""/>
          </v:shape>
          <o:OLEObject Type="Embed" ProgID="Equation.3" ShapeID="_x0000_i1031" DrawAspect="Content" ObjectID="_1666521039" r:id="rId21"/>
        </w:object>
      </w:r>
    </w:p>
    <w:p w14:paraId="42FA1BD1" w14:textId="13DB2A49"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where </w:t>
      </w:r>
      <w:r w:rsidRPr="00925091">
        <w:rPr>
          <w:rFonts w:asciiTheme="majorHAnsi" w:hAnsiTheme="majorHAnsi" w:cstheme="majorHAnsi"/>
          <w:i/>
          <w:szCs w:val="22"/>
          <w:lang w:val="en-GB"/>
        </w:rPr>
        <w:t>RR</w:t>
      </w:r>
      <w:r w:rsidRPr="00925091">
        <w:rPr>
          <w:rFonts w:asciiTheme="majorHAnsi" w:hAnsiTheme="majorHAnsi" w:cstheme="majorHAnsi"/>
          <w:i/>
          <w:szCs w:val="22"/>
          <w:vertAlign w:val="subscript"/>
          <w:lang w:val="en-GB"/>
        </w:rPr>
        <w:t>qh</w:t>
      </w:r>
      <w:r w:rsidRPr="00925091">
        <w:rPr>
          <w:rFonts w:asciiTheme="majorHAnsi" w:hAnsiTheme="majorHAnsi" w:cstheme="majorHAnsi"/>
          <w:szCs w:val="22"/>
          <w:lang w:val="en-GB"/>
        </w:rPr>
        <w:t xml:space="preserve"> is the response rate for the individual questionnaires in stratum </w:t>
      </w:r>
      <w:r w:rsidRPr="00925091">
        <w:rPr>
          <w:rFonts w:asciiTheme="majorHAnsi" w:hAnsiTheme="majorHAnsi" w:cstheme="majorHAnsi"/>
          <w:i/>
          <w:szCs w:val="22"/>
          <w:lang w:val="en-GB"/>
        </w:rPr>
        <w:t>h</w:t>
      </w:r>
      <w:r w:rsidRPr="00925091">
        <w:rPr>
          <w:rFonts w:asciiTheme="majorHAnsi" w:hAnsiTheme="majorHAnsi" w:cstheme="majorHAnsi"/>
          <w:szCs w:val="22"/>
          <w:lang w:val="en-GB"/>
        </w:rPr>
        <w:t xml:space="preserve">, defined as the proportion of eligible individuals (women and </w:t>
      </w:r>
      <w:r w:rsidR="00441F95" w:rsidRPr="00925091">
        <w:rPr>
          <w:rFonts w:asciiTheme="majorHAnsi" w:hAnsiTheme="majorHAnsi" w:cstheme="majorHAnsi"/>
          <w:szCs w:val="22"/>
          <w:lang w:val="en-GB"/>
        </w:rPr>
        <w:t xml:space="preserve">children </w:t>
      </w:r>
      <w:r w:rsidRPr="00925091">
        <w:rPr>
          <w:rFonts w:asciiTheme="majorHAnsi" w:hAnsiTheme="majorHAnsi" w:cstheme="majorHAnsi"/>
          <w:szCs w:val="22"/>
          <w:lang w:val="en-GB"/>
        </w:rPr>
        <w:t>under</w:t>
      </w:r>
      <w:r w:rsidR="00441F95">
        <w:rPr>
          <w:rFonts w:asciiTheme="majorHAnsi" w:hAnsiTheme="majorHAnsi" w:cstheme="majorHAnsi"/>
          <w:szCs w:val="22"/>
          <w:lang w:val="en-GB"/>
        </w:rPr>
        <w:t xml:space="preserve"> five</w:t>
      </w:r>
      <w:r w:rsidRPr="00925091">
        <w:rPr>
          <w:rFonts w:asciiTheme="majorHAnsi" w:hAnsiTheme="majorHAnsi" w:cstheme="majorHAnsi"/>
          <w:szCs w:val="22"/>
          <w:lang w:val="en-GB"/>
        </w:rPr>
        <w:t xml:space="preserve">) in the sample households in stratum </w:t>
      </w:r>
      <w:r w:rsidRPr="00925091">
        <w:rPr>
          <w:rFonts w:asciiTheme="majorHAnsi" w:hAnsiTheme="majorHAnsi" w:cstheme="majorHAnsi"/>
          <w:i/>
          <w:szCs w:val="22"/>
          <w:lang w:val="en-GB"/>
        </w:rPr>
        <w:t>h</w:t>
      </w:r>
      <w:r w:rsidRPr="00925091">
        <w:rPr>
          <w:rFonts w:asciiTheme="majorHAnsi" w:hAnsiTheme="majorHAnsi" w:cstheme="majorHAnsi"/>
          <w:szCs w:val="22"/>
          <w:lang w:val="en-GB"/>
        </w:rPr>
        <w:t xml:space="preserve"> who were successfully interviewed.</w:t>
      </w:r>
    </w:p>
    <w:p w14:paraId="1009F453" w14:textId="77777777"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After the completion of fieldwork, response rates were calculated for each sampling stratum. These were used to adjust the sample weights calculated for each cluster. Response rates in the 2019 Serbia MICS are shown in Table SR.1.1 in this report.</w:t>
      </w:r>
    </w:p>
    <w:p w14:paraId="68EECDFF" w14:textId="68DBDBCD"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The non-response adjustment factors for the individual women and under</w:t>
      </w:r>
      <w:r w:rsidR="00441F95">
        <w:rPr>
          <w:rFonts w:asciiTheme="majorHAnsi" w:hAnsiTheme="majorHAnsi" w:cstheme="majorHAnsi"/>
          <w:szCs w:val="22"/>
          <w:lang w:val="en-GB"/>
        </w:rPr>
        <w:t>-five</w:t>
      </w:r>
      <w:r w:rsidRPr="00925091">
        <w:rPr>
          <w:rFonts w:asciiTheme="majorHAnsi" w:hAnsiTheme="majorHAnsi" w:cstheme="majorHAnsi"/>
          <w:szCs w:val="22"/>
          <w:lang w:val="en-GB"/>
        </w:rPr>
        <w:t xml:space="preserve"> questionnaires were applied to the adjusted household weights. Numbers of eligible women and </w:t>
      </w:r>
      <w:r w:rsidR="00441F95" w:rsidRPr="00925091">
        <w:rPr>
          <w:rFonts w:asciiTheme="majorHAnsi" w:hAnsiTheme="majorHAnsi" w:cstheme="majorHAnsi"/>
          <w:szCs w:val="22"/>
          <w:lang w:val="en-GB"/>
        </w:rPr>
        <w:t xml:space="preserve">children </w:t>
      </w:r>
      <w:r w:rsidRPr="00925091">
        <w:rPr>
          <w:rFonts w:asciiTheme="majorHAnsi" w:hAnsiTheme="majorHAnsi" w:cstheme="majorHAnsi"/>
          <w:szCs w:val="22"/>
          <w:lang w:val="en-GB"/>
        </w:rPr>
        <w:t>under</w:t>
      </w:r>
      <w:r w:rsidR="00441F95">
        <w:rPr>
          <w:rFonts w:asciiTheme="majorHAnsi" w:hAnsiTheme="majorHAnsi" w:cstheme="majorHAnsi"/>
          <w:szCs w:val="22"/>
          <w:lang w:val="en-GB"/>
        </w:rPr>
        <w:t xml:space="preserve"> five </w:t>
      </w:r>
      <w:r w:rsidRPr="00925091">
        <w:rPr>
          <w:rFonts w:asciiTheme="majorHAnsi" w:hAnsiTheme="majorHAnsi" w:cstheme="majorHAnsi"/>
          <w:szCs w:val="22"/>
          <w:lang w:val="en-GB"/>
        </w:rPr>
        <w:t>were obtained from the list of household members in the Household Questionnaire for households where interviews were completed.</w:t>
      </w:r>
    </w:p>
    <w:p w14:paraId="2C61922B" w14:textId="5CAB2EAE" w:rsidR="007B0AEA" w:rsidRPr="00925091" w:rsidRDefault="007B0AEA" w:rsidP="000A02EE">
      <w:pPr>
        <w:pStyle w:val="NoSpacing"/>
        <w:spacing w:after="200" w:line="276" w:lineRule="auto"/>
        <w:rPr>
          <w:rFonts w:asciiTheme="majorHAnsi" w:hAnsiTheme="majorHAnsi" w:cstheme="majorHAnsi"/>
          <w:szCs w:val="22"/>
          <w:lang w:val="en-GB"/>
        </w:rPr>
      </w:pPr>
      <w:r w:rsidRPr="00925091">
        <w:rPr>
          <w:rFonts w:asciiTheme="majorHAnsi" w:hAnsiTheme="majorHAnsi" w:cstheme="majorHAnsi"/>
          <w:szCs w:val="22"/>
          <w:lang w:val="en-GB"/>
        </w:rPr>
        <w:t xml:space="preserve">In the case of the questionnaire for </w:t>
      </w:r>
      <w:r w:rsidR="0078498B">
        <w:rPr>
          <w:rFonts w:asciiTheme="majorHAnsi" w:hAnsiTheme="majorHAnsi" w:cstheme="majorHAnsi"/>
          <w:szCs w:val="22"/>
          <w:lang w:val="en-GB"/>
        </w:rPr>
        <w:t>children aged</w:t>
      </w:r>
      <w:r w:rsidRPr="00925091">
        <w:rPr>
          <w:rFonts w:asciiTheme="majorHAnsi" w:hAnsiTheme="majorHAnsi" w:cstheme="majorHAnsi"/>
          <w:szCs w:val="22"/>
          <w:lang w:val="en-GB"/>
        </w:rPr>
        <w:t xml:space="preserve"> </w:t>
      </w:r>
      <w:r w:rsidR="00B028AA" w:rsidRPr="00925091">
        <w:rPr>
          <w:rFonts w:asciiTheme="majorHAnsi" w:hAnsiTheme="majorHAnsi" w:cstheme="majorHAnsi"/>
          <w:szCs w:val="22"/>
          <w:lang w:val="en-GB"/>
        </w:rPr>
        <w:t>5–1</w:t>
      </w:r>
      <w:r w:rsidRPr="00925091">
        <w:rPr>
          <w:rFonts w:asciiTheme="majorHAnsi" w:hAnsiTheme="majorHAnsi" w:cstheme="majorHAnsi"/>
          <w:szCs w:val="22"/>
          <w:lang w:val="en-GB"/>
        </w:rPr>
        <w:t xml:space="preserve">7 years, in each sample household, one child was randomly selected from all the children in this age group recorded in the list of household members. The household weight for the </w:t>
      </w:r>
      <w:r w:rsidR="0078498B">
        <w:rPr>
          <w:rFonts w:asciiTheme="majorHAnsi" w:hAnsiTheme="majorHAnsi" w:cstheme="majorHAnsi"/>
          <w:szCs w:val="22"/>
          <w:lang w:val="en-GB"/>
        </w:rPr>
        <w:t>children aged</w:t>
      </w:r>
      <w:r w:rsidRPr="00925091">
        <w:rPr>
          <w:rFonts w:asciiTheme="majorHAnsi" w:hAnsiTheme="majorHAnsi" w:cstheme="majorHAnsi"/>
          <w:szCs w:val="22"/>
          <w:lang w:val="en-GB"/>
        </w:rPr>
        <w:t xml:space="preserve"> </w:t>
      </w:r>
      <w:r w:rsidR="00B028AA" w:rsidRPr="00925091">
        <w:rPr>
          <w:rFonts w:asciiTheme="majorHAnsi" w:hAnsiTheme="majorHAnsi" w:cstheme="majorHAnsi"/>
          <w:szCs w:val="22"/>
          <w:lang w:val="en-GB"/>
        </w:rPr>
        <w:t>5–1</w:t>
      </w:r>
      <w:r w:rsidRPr="00925091">
        <w:rPr>
          <w:rFonts w:asciiTheme="majorHAnsi" w:hAnsiTheme="majorHAnsi" w:cstheme="majorHAnsi"/>
          <w:szCs w:val="22"/>
          <w:lang w:val="en-GB"/>
        </w:rPr>
        <w:t>7 years is first adjusted based on the response rate for this questionnaire at the stratum level. Once this adjusted household weight is normal</w:t>
      </w:r>
      <w:r w:rsidR="00707BD1">
        <w:rPr>
          <w:rFonts w:asciiTheme="majorHAnsi" w:hAnsiTheme="majorHAnsi" w:cstheme="majorHAnsi"/>
          <w:szCs w:val="22"/>
          <w:lang w:val="en-GB"/>
        </w:rPr>
        <w:t>ize</w:t>
      </w:r>
      <w:r w:rsidRPr="00925091">
        <w:rPr>
          <w:rFonts w:asciiTheme="majorHAnsi" w:hAnsiTheme="majorHAnsi" w:cstheme="majorHAnsi"/>
          <w:szCs w:val="22"/>
          <w:lang w:val="en-GB"/>
        </w:rPr>
        <w:t xml:space="preserve">d as described below, it is multiplied by the number of </w:t>
      </w:r>
      <w:r w:rsidR="0078498B">
        <w:rPr>
          <w:rFonts w:asciiTheme="majorHAnsi" w:hAnsiTheme="majorHAnsi" w:cstheme="majorHAnsi"/>
          <w:szCs w:val="22"/>
          <w:lang w:val="en-GB"/>
        </w:rPr>
        <w:t>children aged</w:t>
      </w:r>
      <w:r w:rsidRPr="00925091">
        <w:rPr>
          <w:rFonts w:asciiTheme="majorHAnsi" w:hAnsiTheme="majorHAnsi" w:cstheme="majorHAnsi"/>
          <w:szCs w:val="22"/>
          <w:lang w:val="en-GB"/>
        </w:rPr>
        <w:t xml:space="preserve"> </w:t>
      </w:r>
      <w:r w:rsidR="00B028AA" w:rsidRPr="00925091">
        <w:rPr>
          <w:rFonts w:asciiTheme="majorHAnsi" w:hAnsiTheme="majorHAnsi" w:cstheme="majorHAnsi"/>
          <w:szCs w:val="22"/>
          <w:lang w:val="en-GB"/>
        </w:rPr>
        <w:t>5–1</w:t>
      </w:r>
      <w:r w:rsidRPr="00925091">
        <w:rPr>
          <w:rFonts w:asciiTheme="majorHAnsi" w:hAnsiTheme="majorHAnsi" w:cstheme="majorHAnsi"/>
          <w:szCs w:val="22"/>
          <w:lang w:val="en-GB"/>
        </w:rPr>
        <w:t xml:space="preserve">7 years recorded in the list of household members. Therefore, the weights for individual </w:t>
      </w:r>
      <w:r w:rsidR="0078498B">
        <w:rPr>
          <w:rFonts w:asciiTheme="majorHAnsi" w:hAnsiTheme="majorHAnsi" w:cstheme="majorHAnsi"/>
          <w:szCs w:val="22"/>
          <w:lang w:val="en-GB"/>
        </w:rPr>
        <w:t>children aged</w:t>
      </w:r>
      <w:r w:rsidRPr="00925091">
        <w:rPr>
          <w:rFonts w:asciiTheme="majorHAnsi" w:hAnsiTheme="majorHAnsi" w:cstheme="majorHAnsi"/>
          <w:szCs w:val="22"/>
          <w:lang w:val="en-GB"/>
        </w:rPr>
        <w:t xml:space="preserve"> </w:t>
      </w:r>
      <w:r w:rsidR="00B028AA" w:rsidRPr="00925091">
        <w:rPr>
          <w:rFonts w:asciiTheme="majorHAnsi" w:hAnsiTheme="majorHAnsi" w:cstheme="majorHAnsi"/>
          <w:szCs w:val="22"/>
          <w:lang w:val="en-GB"/>
        </w:rPr>
        <w:t>5–1</w:t>
      </w:r>
      <w:r w:rsidRPr="00925091">
        <w:rPr>
          <w:rFonts w:asciiTheme="majorHAnsi" w:hAnsiTheme="majorHAnsi" w:cstheme="majorHAnsi"/>
          <w:szCs w:val="22"/>
          <w:lang w:val="en-GB"/>
        </w:rPr>
        <w:t xml:space="preserve">7 years will vary by sample household. This weighting of the data for </w:t>
      </w:r>
      <w:r w:rsidR="0078498B">
        <w:rPr>
          <w:rFonts w:asciiTheme="majorHAnsi" w:hAnsiTheme="majorHAnsi" w:cstheme="majorHAnsi"/>
          <w:szCs w:val="22"/>
          <w:lang w:val="en-GB"/>
        </w:rPr>
        <w:t>children aged</w:t>
      </w:r>
      <w:r w:rsidRPr="00925091">
        <w:rPr>
          <w:rFonts w:asciiTheme="majorHAnsi" w:hAnsiTheme="majorHAnsi" w:cstheme="majorHAnsi"/>
          <w:szCs w:val="22"/>
          <w:lang w:val="en-GB"/>
        </w:rPr>
        <w:t xml:space="preserve"> </w:t>
      </w:r>
      <w:r w:rsidR="00B028AA" w:rsidRPr="00925091">
        <w:rPr>
          <w:rFonts w:asciiTheme="majorHAnsi" w:hAnsiTheme="majorHAnsi" w:cstheme="majorHAnsi"/>
          <w:szCs w:val="22"/>
          <w:lang w:val="en-GB"/>
        </w:rPr>
        <w:t>5–1</w:t>
      </w:r>
      <w:r w:rsidRPr="00925091">
        <w:rPr>
          <w:rFonts w:asciiTheme="majorHAnsi" w:hAnsiTheme="majorHAnsi" w:cstheme="majorHAnsi"/>
          <w:szCs w:val="22"/>
          <w:lang w:val="en-GB"/>
        </w:rPr>
        <w:t xml:space="preserve">7 years old is implemented in the tabulation programmes for the corresponding tables. </w:t>
      </w:r>
    </w:p>
    <w:p w14:paraId="36314FFE" w14:textId="41AE4195" w:rsidR="007B0AEA" w:rsidRPr="00925091" w:rsidRDefault="007B0AEA" w:rsidP="000A02EE">
      <w:pPr>
        <w:rPr>
          <w:rFonts w:asciiTheme="majorHAnsi" w:hAnsiTheme="majorHAnsi" w:cstheme="majorHAnsi"/>
          <w:lang w:val="en-GB"/>
        </w:rPr>
      </w:pPr>
      <w:r w:rsidRPr="00925091">
        <w:rPr>
          <w:rFonts w:asciiTheme="majorHAnsi" w:hAnsiTheme="majorHAnsi" w:cstheme="majorHAnsi"/>
          <w:lang w:val="en-GB"/>
        </w:rPr>
        <w:t>The 2019 Serbia MICS full (raw) weights for the households were calculated by multiplying the inverse of the probabilities of selection by the non-response adjustment factor for each stratum. These weights were then standard</w:t>
      </w:r>
      <w:r w:rsidR="00707BD1">
        <w:rPr>
          <w:rFonts w:asciiTheme="majorHAnsi" w:hAnsiTheme="majorHAnsi" w:cstheme="majorHAnsi"/>
          <w:lang w:val="en-GB"/>
        </w:rPr>
        <w:t>ize</w:t>
      </w:r>
      <w:r w:rsidRPr="00925091">
        <w:rPr>
          <w:rFonts w:asciiTheme="majorHAnsi" w:hAnsiTheme="majorHAnsi" w:cstheme="majorHAnsi"/>
          <w:lang w:val="en-GB"/>
        </w:rPr>
        <w:t>d (or normal</w:t>
      </w:r>
      <w:r w:rsidR="00707BD1">
        <w:rPr>
          <w:rFonts w:asciiTheme="majorHAnsi" w:hAnsiTheme="majorHAnsi" w:cstheme="majorHAnsi"/>
          <w:lang w:val="en-GB"/>
        </w:rPr>
        <w:t>ize</w:t>
      </w:r>
      <w:r w:rsidRPr="00925091">
        <w:rPr>
          <w:rFonts w:asciiTheme="majorHAnsi" w:hAnsiTheme="majorHAnsi" w:cstheme="majorHAnsi"/>
          <w:lang w:val="en-GB"/>
        </w:rPr>
        <w:t xml:space="preserve">d), one purpose of which is to make the weighted sum of the interviewed sample units equal to the total sample size at the national level. </w:t>
      </w:r>
      <w:r w:rsidR="00441F95" w:rsidRPr="00925091">
        <w:rPr>
          <w:rFonts w:asciiTheme="majorHAnsi" w:hAnsiTheme="majorHAnsi" w:cstheme="majorHAnsi"/>
          <w:lang w:val="en-GB"/>
        </w:rPr>
        <w:t>Normali</w:t>
      </w:r>
      <w:r w:rsidR="00441F95">
        <w:rPr>
          <w:rFonts w:asciiTheme="majorHAnsi" w:hAnsiTheme="majorHAnsi" w:cstheme="majorHAnsi"/>
          <w:lang w:val="en-GB"/>
        </w:rPr>
        <w:t>z</w:t>
      </w:r>
      <w:r w:rsidR="00441F95" w:rsidRPr="00925091">
        <w:rPr>
          <w:rFonts w:asciiTheme="majorHAnsi" w:hAnsiTheme="majorHAnsi" w:cstheme="majorHAnsi"/>
          <w:lang w:val="en-GB"/>
        </w:rPr>
        <w:t xml:space="preserve">ation </w:t>
      </w:r>
      <w:r w:rsidRPr="00925091">
        <w:rPr>
          <w:rFonts w:asciiTheme="majorHAnsi" w:hAnsiTheme="majorHAnsi" w:cstheme="majorHAnsi"/>
          <w:lang w:val="en-GB"/>
        </w:rPr>
        <w:t xml:space="preserve">is achieved by dividing the full sample weights (adjusted for nonresponse) by the average of these weights across all households at the national level. This is performed by multiplying the sample weights by a constant factor equal to the unweighted number of households at the national level divided by the weighted total number of households (using the full sample weights adjusted for non-response). A similar </w:t>
      </w:r>
      <w:r w:rsidR="00441F95" w:rsidRPr="00925091">
        <w:rPr>
          <w:rFonts w:asciiTheme="majorHAnsi" w:hAnsiTheme="majorHAnsi" w:cstheme="majorHAnsi"/>
          <w:lang w:val="en-GB"/>
        </w:rPr>
        <w:t>standardi</w:t>
      </w:r>
      <w:r w:rsidR="00441F95">
        <w:rPr>
          <w:rFonts w:asciiTheme="majorHAnsi" w:hAnsiTheme="majorHAnsi" w:cstheme="majorHAnsi"/>
          <w:lang w:val="en-GB"/>
        </w:rPr>
        <w:t>z</w:t>
      </w:r>
      <w:r w:rsidR="00441F95" w:rsidRPr="00925091">
        <w:rPr>
          <w:rFonts w:asciiTheme="majorHAnsi" w:hAnsiTheme="majorHAnsi" w:cstheme="majorHAnsi"/>
          <w:lang w:val="en-GB"/>
        </w:rPr>
        <w:t xml:space="preserve">ation </w:t>
      </w:r>
      <w:r w:rsidRPr="00925091">
        <w:rPr>
          <w:rFonts w:asciiTheme="majorHAnsi" w:hAnsiTheme="majorHAnsi" w:cstheme="majorHAnsi"/>
          <w:lang w:val="en-GB"/>
        </w:rPr>
        <w:t>procedure was followed in obtaining standard</w:t>
      </w:r>
      <w:r w:rsidR="00707BD1">
        <w:rPr>
          <w:rFonts w:asciiTheme="majorHAnsi" w:hAnsiTheme="majorHAnsi" w:cstheme="majorHAnsi"/>
          <w:lang w:val="en-GB"/>
        </w:rPr>
        <w:t>ize</w:t>
      </w:r>
      <w:r w:rsidRPr="00925091">
        <w:rPr>
          <w:rFonts w:asciiTheme="majorHAnsi" w:hAnsiTheme="majorHAnsi" w:cstheme="majorHAnsi"/>
          <w:lang w:val="en-GB"/>
        </w:rPr>
        <w:t>d weights for the individual women and under-</w:t>
      </w:r>
      <w:r w:rsidR="00441F95">
        <w:rPr>
          <w:rFonts w:asciiTheme="majorHAnsi" w:hAnsiTheme="majorHAnsi" w:cstheme="majorHAnsi"/>
          <w:lang w:val="en-GB"/>
        </w:rPr>
        <w:t>five</w:t>
      </w:r>
      <w:r w:rsidR="00441F95" w:rsidRPr="00925091">
        <w:rPr>
          <w:rFonts w:asciiTheme="majorHAnsi" w:hAnsiTheme="majorHAnsi" w:cstheme="majorHAnsi"/>
          <w:lang w:val="en-GB"/>
        </w:rPr>
        <w:t xml:space="preserve"> </w:t>
      </w:r>
      <w:r w:rsidRPr="00925091">
        <w:rPr>
          <w:rFonts w:asciiTheme="majorHAnsi" w:hAnsiTheme="majorHAnsi" w:cstheme="majorHAnsi"/>
          <w:lang w:val="en-GB"/>
        </w:rPr>
        <w:t>questionnaires. Adjusted (normal</w:t>
      </w:r>
      <w:r w:rsidR="00707BD1">
        <w:rPr>
          <w:rFonts w:asciiTheme="majorHAnsi" w:hAnsiTheme="majorHAnsi" w:cstheme="majorHAnsi"/>
          <w:lang w:val="en-GB"/>
        </w:rPr>
        <w:t>ize</w:t>
      </w:r>
      <w:r w:rsidRPr="00925091">
        <w:rPr>
          <w:rFonts w:asciiTheme="majorHAnsi" w:hAnsiTheme="majorHAnsi" w:cstheme="majorHAnsi"/>
          <w:lang w:val="en-GB"/>
        </w:rPr>
        <w:t>d) household weights varied between 0.11 and 5.60 in the 400 sample enumeration areas (clusters).</w:t>
      </w:r>
    </w:p>
    <w:p w14:paraId="3DCD30B5" w14:textId="5516BAEF" w:rsidR="007B0AEA" w:rsidRPr="00925091" w:rsidRDefault="007B0AEA" w:rsidP="000A02EE">
      <w:pPr>
        <w:rPr>
          <w:rFonts w:asciiTheme="majorHAnsi" w:hAnsiTheme="majorHAnsi" w:cstheme="majorHAnsi"/>
          <w:lang w:val="en-GB"/>
        </w:rPr>
      </w:pPr>
      <w:r w:rsidRPr="00925091">
        <w:rPr>
          <w:rFonts w:asciiTheme="majorHAnsi" w:hAnsiTheme="majorHAnsi" w:cstheme="majorHAnsi"/>
          <w:lang w:val="en-GB"/>
        </w:rPr>
        <w:t>Sample weights were appended to all data sets and analyses were performed by weighting the data for households, women, under-</w:t>
      </w:r>
      <w:r w:rsidR="00441F95">
        <w:rPr>
          <w:rFonts w:asciiTheme="majorHAnsi" w:hAnsiTheme="majorHAnsi" w:cstheme="majorHAnsi"/>
          <w:lang w:val="en-GB"/>
        </w:rPr>
        <w:t>five</w:t>
      </w:r>
      <w:r w:rsidR="00441F95" w:rsidRPr="00925091">
        <w:rPr>
          <w:rFonts w:asciiTheme="majorHAnsi" w:hAnsiTheme="majorHAnsi" w:cstheme="majorHAnsi"/>
          <w:lang w:val="en-GB"/>
        </w:rPr>
        <w:t xml:space="preserve">s </w:t>
      </w:r>
      <w:r w:rsidRPr="00925091">
        <w:rPr>
          <w:rFonts w:asciiTheme="majorHAnsi" w:hAnsiTheme="majorHAnsi" w:cstheme="majorHAnsi"/>
          <w:lang w:val="en-GB"/>
        </w:rPr>
        <w:t xml:space="preserve">and </w:t>
      </w:r>
      <w:r w:rsidR="00B028AA" w:rsidRPr="00925091">
        <w:rPr>
          <w:rFonts w:asciiTheme="majorHAnsi" w:hAnsiTheme="majorHAnsi" w:cstheme="majorHAnsi"/>
          <w:lang w:val="en-GB"/>
        </w:rPr>
        <w:t>5–1</w:t>
      </w:r>
      <w:r w:rsidRPr="00925091">
        <w:rPr>
          <w:rFonts w:asciiTheme="majorHAnsi" w:hAnsiTheme="majorHAnsi" w:cstheme="majorHAnsi"/>
          <w:lang w:val="en-GB"/>
        </w:rPr>
        <w:t>7-year olds with these sample weights.</w:t>
      </w:r>
    </w:p>
    <w:p w14:paraId="03D2646D" w14:textId="77777777" w:rsidR="007B0AEA" w:rsidRPr="00925091" w:rsidRDefault="007B0AEA" w:rsidP="007B0AEA">
      <w:pPr>
        <w:rPr>
          <w:rFonts w:asciiTheme="majorHAnsi" w:hAnsiTheme="majorHAnsi" w:cstheme="majorHAnsi"/>
          <w:szCs w:val="22"/>
          <w:lang w:val="en-GB"/>
        </w:rPr>
      </w:pPr>
    </w:p>
    <w:p w14:paraId="396366D1" w14:textId="77777777" w:rsidR="007B0AEA" w:rsidRPr="00925091" w:rsidRDefault="007B0AEA" w:rsidP="007B0AEA">
      <w:pPr>
        <w:rPr>
          <w:rFonts w:asciiTheme="majorHAnsi" w:hAnsiTheme="majorHAnsi" w:cstheme="majorHAnsi"/>
          <w:szCs w:val="22"/>
          <w:lang w:val="en-GB"/>
        </w:rPr>
        <w:sectPr w:rsidR="007B0AEA" w:rsidRPr="00925091" w:rsidSect="00437DBA">
          <w:headerReference w:type="even" r:id="rId22"/>
          <w:headerReference w:type="default" r:id="rId23"/>
          <w:footerReference w:type="even" r:id="rId24"/>
          <w:footerReference w:type="default" r:id="rId25"/>
          <w:headerReference w:type="first" r:id="rId26"/>
          <w:footerReference w:type="first" r:id="rId27"/>
          <w:pgSz w:w="11907" w:h="16839" w:code="9"/>
          <w:pgMar w:top="1440" w:right="1440" w:bottom="1440" w:left="1440" w:header="720" w:footer="720" w:gutter="0"/>
          <w:cols w:space="720"/>
          <w:docGrid w:linePitch="299"/>
        </w:sectPr>
      </w:pPr>
    </w:p>
    <w:p w14:paraId="471B129E" w14:textId="77777777" w:rsidR="007B0AEA" w:rsidRPr="00925091" w:rsidRDefault="007B0AEA" w:rsidP="007B0AEA">
      <w:pPr>
        <w:pStyle w:val="Heading2"/>
        <w:numPr>
          <w:ilvl w:val="0"/>
          <w:numId w:val="0"/>
        </w:numPr>
        <w:spacing w:line="269" w:lineRule="auto"/>
        <w:rPr>
          <w:rStyle w:val="2H"/>
          <w:rFonts w:asciiTheme="majorHAnsi" w:hAnsiTheme="majorHAnsi" w:cstheme="majorHAnsi"/>
          <w:b w:val="0"/>
          <w:bCs/>
          <w:sz w:val="20"/>
          <w:szCs w:val="16"/>
          <w:lang w:val="en-GB"/>
        </w:rPr>
      </w:pPr>
      <w:bookmarkStart w:id="19" w:name="_Toc52987337"/>
      <w:r w:rsidRPr="00925091">
        <w:rPr>
          <w:rStyle w:val="2H"/>
          <w:rFonts w:asciiTheme="majorHAnsi" w:hAnsiTheme="majorHAnsi" w:cstheme="majorHAnsi"/>
          <w:b w:val="0"/>
          <w:bCs/>
          <w:sz w:val="20"/>
          <w:szCs w:val="16"/>
          <w:lang w:val="en-GB"/>
        </w:rPr>
        <w:lastRenderedPageBreak/>
        <w:t>Sample Design for the 2019 Serbia Roma Settlements MICS Sample</w:t>
      </w:r>
      <w:bookmarkEnd w:id="19"/>
    </w:p>
    <w:p w14:paraId="74A60612" w14:textId="77777777" w:rsidR="007B0AEA" w:rsidRPr="00925091" w:rsidRDefault="007B0AEA"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The primary objective of the sample design for the 2019 Serbia Roma Settlements MICS was to produce statistically reliable estimates of most indicators, at the national level and for urban and other areas. Stratification for the 2019 Serbia Roma Settlements MICS was done according to the type of settlement (urban and other), and to the four regions: Belgrade, Vojvodina, Sumadija and Western Serbia and Southern and Eastern Serbia. In designing the sample for the 2019 Serbia Roma Settlements MICS, it was useful to review the sample design and results of the MICS conducted in 2014, documented in the Final Report of that survey.</w:t>
      </w:r>
    </w:p>
    <w:p w14:paraId="2043D61B" w14:textId="0F7377CF" w:rsidR="007B0AEA" w:rsidRPr="00925091" w:rsidRDefault="007B0AEA"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A two-stage, stratified cluster sampling approach was used for the selection of the survey sample. The sampling frame was based on the 2011 Serbia Census of Population and Housing.</w:t>
      </w:r>
      <w:r w:rsidR="00377549" w:rsidRPr="00925091">
        <w:rPr>
          <w:lang w:val="en-GB"/>
        </w:rPr>
        <w:t xml:space="preserve"> </w:t>
      </w:r>
      <w:r w:rsidR="00377549" w:rsidRPr="00925091">
        <w:rPr>
          <w:rFonts w:asciiTheme="majorHAnsi" w:hAnsiTheme="majorHAnsi" w:cstheme="majorHAnsi"/>
          <w:snapToGrid w:val="0"/>
          <w:szCs w:val="22"/>
          <w:lang w:val="en-GB"/>
        </w:rPr>
        <w:t xml:space="preserve">It was formed by excluding all enumeration areas </w:t>
      </w:r>
      <w:r w:rsidR="00441F95">
        <w:rPr>
          <w:rFonts w:asciiTheme="majorHAnsi" w:hAnsiTheme="majorHAnsi" w:cstheme="majorHAnsi"/>
          <w:snapToGrid w:val="0"/>
          <w:szCs w:val="22"/>
          <w:lang w:val="en-GB"/>
        </w:rPr>
        <w:t xml:space="preserve">(EAs) </w:t>
      </w:r>
      <w:r w:rsidR="00377549" w:rsidRPr="00925091">
        <w:rPr>
          <w:rFonts w:asciiTheme="majorHAnsi" w:hAnsiTheme="majorHAnsi" w:cstheme="majorHAnsi"/>
          <w:snapToGrid w:val="0"/>
          <w:szCs w:val="22"/>
          <w:lang w:val="en-GB"/>
        </w:rPr>
        <w:t>with 19 or less Roma households. In this way</w:t>
      </w:r>
      <w:r w:rsidR="00ED1442" w:rsidRPr="00925091">
        <w:rPr>
          <w:rFonts w:asciiTheme="majorHAnsi" w:hAnsiTheme="majorHAnsi" w:cstheme="majorHAnsi"/>
          <w:snapToGrid w:val="0"/>
          <w:szCs w:val="22"/>
          <w:lang w:val="en-GB"/>
        </w:rPr>
        <w:t>,</w:t>
      </w:r>
      <w:r w:rsidR="00377549" w:rsidRPr="00925091">
        <w:rPr>
          <w:rFonts w:asciiTheme="majorHAnsi" w:hAnsiTheme="majorHAnsi" w:cstheme="majorHAnsi"/>
          <w:snapToGrid w:val="0"/>
          <w:szCs w:val="22"/>
          <w:lang w:val="en-GB"/>
        </w:rPr>
        <w:t xml:space="preserve"> 43 percent of the Roma households were included.</w:t>
      </w:r>
      <w:r w:rsidRPr="00925091">
        <w:rPr>
          <w:rFonts w:asciiTheme="majorHAnsi" w:hAnsiTheme="majorHAnsi" w:cstheme="majorHAnsi"/>
          <w:snapToGrid w:val="0"/>
          <w:szCs w:val="22"/>
          <w:lang w:val="en-GB"/>
        </w:rPr>
        <w:t xml:space="preserve"> The primary sampling units (PSUs) selected at the first stage were the EAs defined for the census enumeration</w:t>
      </w:r>
      <w:r w:rsidR="00D908B0" w:rsidRPr="00925091">
        <w:rPr>
          <w:rFonts w:asciiTheme="majorHAnsi" w:hAnsiTheme="majorHAnsi" w:cstheme="majorHAnsi"/>
          <w:snapToGrid w:val="0"/>
          <w:szCs w:val="22"/>
          <w:lang w:val="en-GB"/>
        </w:rPr>
        <w:t>, which had at least 20 Roma households each</w:t>
      </w:r>
      <w:r w:rsidRPr="00925091">
        <w:rPr>
          <w:rFonts w:asciiTheme="majorHAnsi" w:hAnsiTheme="majorHAnsi" w:cstheme="majorHAnsi"/>
          <w:snapToGrid w:val="0"/>
          <w:szCs w:val="22"/>
          <w:lang w:val="en-GB"/>
        </w:rPr>
        <w:t>. A listing of households was conducted in each sample EA, and a sample of Roma households was selected at the second stage.</w:t>
      </w:r>
    </w:p>
    <w:p w14:paraId="6400159F" w14:textId="77777777" w:rsidR="007B0AEA" w:rsidRPr="00925091" w:rsidRDefault="007B0AEA" w:rsidP="00F00395">
      <w:pPr>
        <w:pStyle w:val="Heading2"/>
        <w:numPr>
          <w:ilvl w:val="0"/>
          <w:numId w:val="53"/>
        </w:numPr>
        <w:spacing w:before="0" w:line="269" w:lineRule="auto"/>
        <w:rPr>
          <w:rStyle w:val="2H"/>
          <w:rFonts w:asciiTheme="majorHAnsi" w:hAnsiTheme="majorHAnsi" w:cstheme="majorHAnsi"/>
          <w:b w:val="0"/>
          <w:bCs/>
          <w:iCs/>
          <w:sz w:val="20"/>
          <w:szCs w:val="18"/>
          <w:lang w:val="en-GB"/>
        </w:rPr>
      </w:pPr>
      <w:bookmarkStart w:id="20" w:name="_Toc52987338"/>
      <w:r w:rsidRPr="00925091">
        <w:rPr>
          <w:rStyle w:val="2H"/>
          <w:rFonts w:asciiTheme="majorHAnsi" w:hAnsiTheme="majorHAnsi" w:cstheme="majorHAnsi"/>
          <w:b w:val="0"/>
          <w:bCs/>
          <w:sz w:val="20"/>
          <w:szCs w:val="18"/>
          <w:lang w:val="en-GB"/>
        </w:rPr>
        <w:t>Sample size and sample allocation</w:t>
      </w:r>
      <w:bookmarkEnd w:id="20"/>
    </w:p>
    <w:p w14:paraId="3BE4A3A5" w14:textId="00778B46" w:rsidR="007B0AEA" w:rsidRPr="00925091" w:rsidRDefault="007B0AEA"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Since the overall sample size for the 2019 Serbia Roma Settlements MICS partly depends on the geographic domains of analysis that are defined for the survey tables, the distribution of EAs and Roma households living in the 2011 Census enumeration areas which had at least 20 Roma households at the time of the 2011 Census was first examined by region, urban and other strata, shown in Table SD.1R.</w:t>
      </w:r>
    </w:p>
    <w:tbl>
      <w:tblPr>
        <w:tblW w:w="0" w:type="auto"/>
        <w:jc w:val="center"/>
        <w:tblLook w:val="01E0" w:firstRow="1" w:lastRow="1" w:firstColumn="1" w:lastColumn="1" w:noHBand="0" w:noVBand="0"/>
      </w:tblPr>
      <w:tblGrid>
        <w:gridCol w:w="2672"/>
        <w:gridCol w:w="624"/>
        <w:gridCol w:w="714"/>
        <w:gridCol w:w="685"/>
        <w:gridCol w:w="276"/>
        <w:gridCol w:w="1077"/>
        <w:gridCol w:w="1077"/>
        <w:gridCol w:w="1077"/>
      </w:tblGrid>
      <w:tr w:rsidR="007B0AEA" w:rsidRPr="00925091" w14:paraId="68A11FEC" w14:textId="77777777" w:rsidTr="007B0AEA">
        <w:trPr>
          <w:cantSplit/>
          <w:trHeight w:val="288"/>
          <w:jc w:val="center"/>
        </w:trPr>
        <w:tc>
          <w:tcPr>
            <w:tcW w:w="8202" w:type="dxa"/>
            <w:gridSpan w:val="8"/>
            <w:tcBorders>
              <w:top w:val="single" w:sz="4" w:space="0" w:color="auto"/>
              <w:left w:val="single" w:sz="4" w:space="0" w:color="auto"/>
              <w:right w:val="single" w:sz="4" w:space="0" w:color="auto"/>
            </w:tcBorders>
            <w:shd w:val="clear" w:color="auto" w:fill="000000" w:themeFill="text1"/>
            <w:vAlign w:val="center"/>
          </w:tcPr>
          <w:p w14:paraId="53546B31" w14:textId="57F185FE" w:rsidR="007B0AEA" w:rsidRPr="00925091" w:rsidRDefault="007B0AEA" w:rsidP="007B0AEA">
            <w:pPr>
              <w:pStyle w:val="Heading3"/>
              <w:rPr>
                <w:snapToGrid w:val="0"/>
              </w:rPr>
            </w:pPr>
            <w:bookmarkStart w:id="21" w:name="_Toc52987339"/>
            <w:r w:rsidRPr="00925091">
              <w:rPr>
                <w:snapToGrid w:val="0"/>
              </w:rPr>
              <w:t>Table SD.1R: Distribution of enumeration areas and households in the sampling frame</w:t>
            </w:r>
            <w:bookmarkEnd w:id="21"/>
          </w:p>
        </w:tc>
      </w:tr>
      <w:tr w:rsidR="007B0AEA" w:rsidRPr="00925091" w14:paraId="640C1355" w14:textId="77777777" w:rsidTr="007B0AEA">
        <w:trPr>
          <w:cantSplit/>
          <w:trHeight w:val="238"/>
          <w:jc w:val="center"/>
        </w:trPr>
        <w:tc>
          <w:tcPr>
            <w:tcW w:w="8202" w:type="dxa"/>
            <w:gridSpan w:val="8"/>
            <w:tcBorders>
              <w:top w:val="single" w:sz="4" w:space="0" w:color="auto"/>
              <w:left w:val="single" w:sz="4" w:space="0" w:color="auto"/>
              <w:right w:val="single" w:sz="4" w:space="0" w:color="auto"/>
            </w:tcBorders>
            <w:shd w:val="clear" w:color="auto" w:fill="auto"/>
            <w:vAlign w:val="center"/>
          </w:tcPr>
          <w:p w14:paraId="08529ADF" w14:textId="154A1D7C" w:rsidR="007B0AEA" w:rsidRPr="00925091" w:rsidRDefault="007B0AEA" w:rsidP="007B0AEA">
            <w:pPr>
              <w:spacing w:before="0" w:after="0" w:line="269" w:lineRule="auto"/>
              <w:rPr>
                <w:rFonts w:asciiTheme="majorHAnsi" w:hAnsiTheme="majorHAnsi" w:cstheme="majorHAnsi"/>
                <w:snapToGrid w:val="0"/>
                <w:sz w:val="18"/>
                <w:szCs w:val="18"/>
                <w:lang w:val="en-GB"/>
              </w:rPr>
            </w:pPr>
            <w:r w:rsidRPr="00925091">
              <w:rPr>
                <w:rFonts w:asciiTheme="majorHAnsi" w:hAnsiTheme="majorHAnsi" w:cstheme="majorHAnsi"/>
                <w:snapToGrid w:val="0"/>
                <w:sz w:val="18"/>
                <w:szCs w:val="18"/>
                <w:lang w:val="en-GB"/>
              </w:rPr>
              <w:t xml:space="preserve">Distribution of EAs and households, by region, urban and other strata, Census </w:t>
            </w:r>
            <w:r w:rsidRPr="00925091">
              <w:rPr>
                <w:rFonts w:asciiTheme="majorHAnsi" w:hAnsiTheme="majorHAnsi" w:cstheme="majorHAnsi"/>
                <w:snapToGrid w:val="0"/>
                <w:color w:val="000000" w:themeColor="text1"/>
                <w:sz w:val="18"/>
                <w:szCs w:val="18"/>
                <w:lang w:val="en-GB"/>
              </w:rPr>
              <w:t>2011</w:t>
            </w:r>
          </w:p>
        </w:tc>
      </w:tr>
      <w:tr w:rsidR="007B0AEA" w:rsidRPr="00925091" w14:paraId="09C6F32D" w14:textId="77777777" w:rsidTr="007B0AEA">
        <w:trPr>
          <w:cantSplit/>
          <w:trHeight w:val="238"/>
          <w:jc w:val="center"/>
        </w:trPr>
        <w:tc>
          <w:tcPr>
            <w:tcW w:w="0" w:type="auto"/>
            <w:tcBorders>
              <w:top w:val="single" w:sz="4" w:space="0" w:color="auto"/>
              <w:left w:val="single" w:sz="4" w:space="0" w:color="auto"/>
            </w:tcBorders>
            <w:vAlign w:val="bottom"/>
          </w:tcPr>
          <w:p w14:paraId="3E4E982B"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gridSpan w:val="3"/>
            <w:tcBorders>
              <w:top w:val="single" w:sz="4" w:space="0" w:color="auto"/>
              <w:bottom w:val="single" w:sz="4" w:space="0" w:color="auto"/>
            </w:tcBorders>
            <w:vAlign w:val="bottom"/>
          </w:tcPr>
          <w:p w14:paraId="68307FDD" w14:textId="77777777" w:rsidR="007B0AEA" w:rsidRPr="00925091" w:rsidRDefault="007B0AEA" w:rsidP="007B0AEA">
            <w:pPr>
              <w:spacing w:before="0" w:after="0" w:line="269" w:lineRule="auto"/>
              <w:jc w:val="center"/>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Number of EAs</w:t>
            </w:r>
          </w:p>
        </w:tc>
        <w:tc>
          <w:tcPr>
            <w:tcW w:w="0" w:type="auto"/>
            <w:tcBorders>
              <w:top w:val="single" w:sz="4" w:space="0" w:color="auto"/>
            </w:tcBorders>
            <w:vAlign w:val="bottom"/>
          </w:tcPr>
          <w:p w14:paraId="27A61DC0"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3009" w:type="dxa"/>
            <w:gridSpan w:val="3"/>
            <w:tcBorders>
              <w:top w:val="single" w:sz="4" w:space="0" w:color="auto"/>
              <w:bottom w:val="single" w:sz="4" w:space="0" w:color="auto"/>
              <w:right w:val="single" w:sz="4" w:space="0" w:color="auto"/>
            </w:tcBorders>
            <w:vAlign w:val="bottom"/>
          </w:tcPr>
          <w:p w14:paraId="2AD007C6" w14:textId="77777777" w:rsidR="007B0AEA" w:rsidRPr="00925091" w:rsidRDefault="007B0AEA" w:rsidP="007B0AEA">
            <w:pPr>
              <w:spacing w:before="0" w:after="0" w:line="269" w:lineRule="auto"/>
              <w:jc w:val="center"/>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Number of Households (</w:t>
            </w:r>
            <w:r w:rsidRPr="00925091">
              <w:rPr>
                <w:rFonts w:asciiTheme="majorHAnsi" w:hAnsiTheme="majorHAnsi" w:cstheme="majorHAnsi"/>
                <w:b/>
                <w:snapToGrid w:val="0"/>
                <w:color w:val="000000" w:themeColor="text1"/>
                <w:sz w:val="18"/>
                <w:szCs w:val="18"/>
                <w:lang w:val="en-GB" w:eastAsia="en-GB"/>
              </w:rPr>
              <w:t>2011</w:t>
            </w:r>
            <w:r w:rsidRPr="00925091">
              <w:rPr>
                <w:rFonts w:asciiTheme="majorHAnsi" w:hAnsiTheme="majorHAnsi" w:cstheme="majorHAnsi"/>
                <w:b/>
                <w:snapToGrid w:val="0"/>
                <w:sz w:val="18"/>
                <w:szCs w:val="18"/>
                <w:lang w:val="en-GB" w:eastAsia="en-GB"/>
              </w:rPr>
              <w:t xml:space="preserve"> Census)</w:t>
            </w:r>
          </w:p>
        </w:tc>
      </w:tr>
      <w:tr w:rsidR="007B0AEA" w:rsidRPr="00925091" w14:paraId="7EA54D48" w14:textId="77777777" w:rsidTr="007B0AEA">
        <w:trPr>
          <w:cantSplit/>
          <w:trHeight w:val="238"/>
          <w:jc w:val="center"/>
        </w:trPr>
        <w:tc>
          <w:tcPr>
            <w:tcW w:w="0" w:type="auto"/>
            <w:tcBorders>
              <w:left w:val="single" w:sz="4" w:space="0" w:color="auto"/>
              <w:bottom w:val="single" w:sz="4" w:space="0" w:color="auto"/>
            </w:tcBorders>
            <w:vAlign w:val="bottom"/>
          </w:tcPr>
          <w:p w14:paraId="306BBA53"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tcBorders>
              <w:top w:val="single" w:sz="4" w:space="0" w:color="auto"/>
              <w:bottom w:val="single" w:sz="4" w:space="0" w:color="auto"/>
            </w:tcBorders>
            <w:vAlign w:val="bottom"/>
          </w:tcPr>
          <w:p w14:paraId="2FD7C5BD"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Total</w:t>
            </w:r>
          </w:p>
        </w:tc>
        <w:tc>
          <w:tcPr>
            <w:tcW w:w="0" w:type="auto"/>
            <w:tcBorders>
              <w:top w:val="single" w:sz="4" w:space="0" w:color="auto"/>
              <w:bottom w:val="single" w:sz="4" w:space="0" w:color="auto"/>
            </w:tcBorders>
            <w:vAlign w:val="bottom"/>
          </w:tcPr>
          <w:p w14:paraId="03C9B75C"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Urban</w:t>
            </w:r>
          </w:p>
        </w:tc>
        <w:tc>
          <w:tcPr>
            <w:tcW w:w="0" w:type="auto"/>
            <w:tcBorders>
              <w:top w:val="single" w:sz="4" w:space="0" w:color="auto"/>
              <w:bottom w:val="single" w:sz="4" w:space="0" w:color="auto"/>
            </w:tcBorders>
            <w:vAlign w:val="bottom"/>
          </w:tcPr>
          <w:p w14:paraId="6C8BF3C6"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Other</w:t>
            </w:r>
          </w:p>
        </w:tc>
        <w:tc>
          <w:tcPr>
            <w:tcW w:w="0" w:type="auto"/>
            <w:tcBorders>
              <w:bottom w:val="single" w:sz="4" w:space="0" w:color="auto"/>
            </w:tcBorders>
            <w:vAlign w:val="bottom"/>
          </w:tcPr>
          <w:p w14:paraId="5013EB57"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1003" w:type="dxa"/>
            <w:tcBorders>
              <w:top w:val="single" w:sz="4" w:space="0" w:color="auto"/>
              <w:bottom w:val="single" w:sz="4" w:space="0" w:color="auto"/>
            </w:tcBorders>
            <w:vAlign w:val="bottom"/>
          </w:tcPr>
          <w:p w14:paraId="27383E8D"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Total</w:t>
            </w:r>
          </w:p>
        </w:tc>
        <w:tc>
          <w:tcPr>
            <w:tcW w:w="1003" w:type="dxa"/>
            <w:tcBorders>
              <w:top w:val="single" w:sz="4" w:space="0" w:color="auto"/>
              <w:bottom w:val="single" w:sz="4" w:space="0" w:color="auto"/>
            </w:tcBorders>
            <w:vAlign w:val="bottom"/>
          </w:tcPr>
          <w:p w14:paraId="33C467D0"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Urban</w:t>
            </w:r>
          </w:p>
        </w:tc>
        <w:tc>
          <w:tcPr>
            <w:tcW w:w="1003" w:type="dxa"/>
            <w:tcBorders>
              <w:top w:val="single" w:sz="4" w:space="0" w:color="auto"/>
              <w:bottom w:val="single" w:sz="4" w:space="0" w:color="auto"/>
              <w:right w:val="single" w:sz="4" w:space="0" w:color="auto"/>
            </w:tcBorders>
            <w:vAlign w:val="bottom"/>
          </w:tcPr>
          <w:p w14:paraId="10CF6012"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Other</w:t>
            </w:r>
          </w:p>
        </w:tc>
      </w:tr>
      <w:tr w:rsidR="007B0AEA" w:rsidRPr="00925091" w14:paraId="70E80BAA" w14:textId="77777777" w:rsidTr="007B0AEA">
        <w:trPr>
          <w:cantSplit/>
          <w:trHeight w:val="238"/>
          <w:jc w:val="center"/>
        </w:trPr>
        <w:tc>
          <w:tcPr>
            <w:tcW w:w="0" w:type="auto"/>
            <w:tcBorders>
              <w:top w:val="single" w:sz="4" w:space="0" w:color="auto"/>
              <w:left w:val="single" w:sz="4" w:space="0" w:color="auto"/>
            </w:tcBorders>
            <w:vAlign w:val="center"/>
          </w:tcPr>
          <w:p w14:paraId="2692AC95" w14:textId="77777777" w:rsidR="007B0AEA" w:rsidRPr="00925091" w:rsidRDefault="007B0AEA" w:rsidP="007B0AEA">
            <w:pPr>
              <w:spacing w:before="0" w:after="0" w:line="269" w:lineRule="auto"/>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63F3997B"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1353FD38"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182618A6"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088C60D7"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1003" w:type="dxa"/>
            <w:tcBorders>
              <w:top w:val="single" w:sz="4" w:space="0" w:color="auto"/>
            </w:tcBorders>
            <w:vAlign w:val="center"/>
          </w:tcPr>
          <w:p w14:paraId="0C6BC4FE"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1003" w:type="dxa"/>
            <w:tcBorders>
              <w:top w:val="single" w:sz="4" w:space="0" w:color="auto"/>
            </w:tcBorders>
            <w:vAlign w:val="center"/>
          </w:tcPr>
          <w:p w14:paraId="1D70F02F"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c>
          <w:tcPr>
            <w:tcW w:w="1003" w:type="dxa"/>
            <w:tcBorders>
              <w:top w:val="single" w:sz="4" w:space="0" w:color="auto"/>
              <w:right w:val="single" w:sz="4" w:space="0" w:color="auto"/>
            </w:tcBorders>
            <w:vAlign w:val="center"/>
          </w:tcPr>
          <w:p w14:paraId="10BAFF7D" w14:textId="77777777" w:rsidR="007B0AEA" w:rsidRPr="00925091" w:rsidRDefault="007B0AEA" w:rsidP="007B0AEA">
            <w:pPr>
              <w:spacing w:before="0" w:after="0" w:line="269" w:lineRule="auto"/>
              <w:jc w:val="center"/>
              <w:rPr>
                <w:rFonts w:asciiTheme="majorHAnsi" w:hAnsiTheme="majorHAnsi" w:cstheme="majorHAnsi"/>
                <w:snapToGrid w:val="0"/>
                <w:sz w:val="18"/>
                <w:szCs w:val="18"/>
                <w:lang w:val="en-GB" w:eastAsia="en-GB"/>
              </w:rPr>
            </w:pPr>
          </w:p>
        </w:tc>
      </w:tr>
      <w:tr w:rsidR="007B0AEA" w:rsidRPr="00925091" w14:paraId="7EDB3A0D" w14:textId="77777777" w:rsidTr="007B0AEA">
        <w:trPr>
          <w:cantSplit/>
          <w:trHeight w:val="238"/>
          <w:jc w:val="center"/>
        </w:trPr>
        <w:tc>
          <w:tcPr>
            <w:tcW w:w="0" w:type="auto"/>
            <w:tcBorders>
              <w:left w:val="single" w:sz="4" w:space="0" w:color="auto"/>
            </w:tcBorders>
            <w:vAlign w:val="center"/>
          </w:tcPr>
          <w:p w14:paraId="11146DE0" w14:textId="77777777" w:rsidR="007B0AEA" w:rsidRPr="00925091" w:rsidRDefault="007B0AEA" w:rsidP="007B0AEA">
            <w:pPr>
              <w:spacing w:before="0" w:after="0" w:line="269" w:lineRule="auto"/>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Total</w:t>
            </w:r>
          </w:p>
        </w:tc>
        <w:tc>
          <w:tcPr>
            <w:tcW w:w="0" w:type="auto"/>
            <w:vAlign w:val="center"/>
          </w:tcPr>
          <w:p w14:paraId="57C7DA41" w14:textId="77777777" w:rsidR="007B0AEA" w:rsidRPr="00925091" w:rsidRDefault="007B0AEA" w:rsidP="007B0AEA">
            <w:pPr>
              <w:spacing w:before="0" w:after="0" w:line="269" w:lineRule="auto"/>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372</w:t>
            </w:r>
          </w:p>
        </w:tc>
        <w:tc>
          <w:tcPr>
            <w:tcW w:w="0" w:type="auto"/>
            <w:vAlign w:val="center"/>
          </w:tcPr>
          <w:p w14:paraId="290CCC14" w14:textId="77777777" w:rsidR="007B0AEA" w:rsidRPr="00925091" w:rsidRDefault="007B0AEA" w:rsidP="007B0AEA">
            <w:pPr>
              <w:spacing w:before="0" w:after="0" w:line="269" w:lineRule="auto"/>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237</w:t>
            </w:r>
          </w:p>
        </w:tc>
        <w:tc>
          <w:tcPr>
            <w:tcW w:w="0" w:type="auto"/>
            <w:vAlign w:val="center"/>
          </w:tcPr>
          <w:p w14:paraId="6AFDD449" w14:textId="77777777" w:rsidR="007B0AEA" w:rsidRPr="00925091" w:rsidRDefault="007B0AEA" w:rsidP="007B0AEA">
            <w:pPr>
              <w:spacing w:before="0" w:after="0" w:line="269" w:lineRule="auto"/>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135</w:t>
            </w:r>
          </w:p>
        </w:tc>
        <w:tc>
          <w:tcPr>
            <w:tcW w:w="0" w:type="auto"/>
            <w:vAlign w:val="center"/>
          </w:tcPr>
          <w:p w14:paraId="26C5D721" w14:textId="77777777" w:rsidR="007B0AEA" w:rsidRPr="00925091" w:rsidRDefault="007B0AEA" w:rsidP="007B0AEA">
            <w:pPr>
              <w:spacing w:before="0" w:after="0" w:line="269" w:lineRule="auto"/>
              <w:jc w:val="right"/>
              <w:rPr>
                <w:rFonts w:asciiTheme="majorHAnsi" w:hAnsiTheme="majorHAnsi" w:cstheme="majorHAnsi"/>
                <w:b/>
                <w:sz w:val="18"/>
                <w:szCs w:val="18"/>
                <w:lang w:val="en-GB" w:eastAsia="en-GB"/>
              </w:rPr>
            </w:pPr>
          </w:p>
        </w:tc>
        <w:tc>
          <w:tcPr>
            <w:tcW w:w="1003" w:type="dxa"/>
            <w:vAlign w:val="center"/>
          </w:tcPr>
          <w:p w14:paraId="0EDAC1F7" w14:textId="531FD0C5" w:rsidR="007B0AEA" w:rsidRPr="00925091" w:rsidRDefault="007B0AEA" w:rsidP="007B0AEA">
            <w:pPr>
              <w:spacing w:before="0" w:after="0" w:line="269" w:lineRule="auto"/>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15,538</w:t>
            </w:r>
          </w:p>
        </w:tc>
        <w:tc>
          <w:tcPr>
            <w:tcW w:w="1003" w:type="dxa"/>
            <w:vAlign w:val="center"/>
          </w:tcPr>
          <w:p w14:paraId="794FE450" w14:textId="67BAE12D" w:rsidR="007B0AEA" w:rsidRPr="00925091" w:rsidRDefault="007B0AEA" w:rsidP="007B0AEA">
            <w:pPr>
              <w:spacing w:before="0" w:after="0" w:line="269" w:lineRule="auto"/>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11,125</w:t>
            </w:r>
          </w:p>
        </w:tc>
        <w:tc>
          <w:tcPr>
            <w:tcW w:w="1003" w:type="dxa"/>
            <w:tcBorders>
              <w:right w:val="single" w:sz="4" w:space="0" w:color="auto"/>
            </w:tcBorders>
            <w:vAlign w:val="center"/>
          </w:tcPr>
          <w:p w14:paraId="08F6CB20" w14:textId="55C024A2" w:rsidR="007B0AEA" w:rsidRPr="00925091" w:rsidRDefault="007B0AEA" w:rsidP="007B0AEA">
            <w:pPr>
              <w:spacing w:before="0" w:after="0" w:line="269" w:lineRule="auto"/>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4,413</w:t>
            </w:r>
          </w:p>
        </w:tc>
      </w:tr>
      <w:tr w:rsidR="007B0AEA" w:rsidRPr="00925091" w14:paraId="444BF5B3" w14:textId="77777777" w:rsidTr="007B0AEA">
        <w:trPr>
          <w:cantSplit/>
          <w:trHeight w:val="238"/>
          <w:jc w:val="center"/>
        </w:trPr>
        <w:tc>
          <w:tcPr>
            <w:tcW w:w="0" w:type="auto"/>
            <w:tcBorders>
              <w:left w:val="single" w:sz="4" w:space="0" w:color="auto"/>
            </w:tcBorders>
            <w:vAlign w:val="center"/>
          </w:tcPr>
          <w:p w14:paraId="3B4F041A" w14:textId="77777777" w:rsidR="007B0AEA" w:rsidRPr="00925091" w:rsidRDefault="007B0AEA" w:rsidP="007B0AEA">
            <w:pPr>
              <w:spacing w:before="0" w:after="0" w:line="269" w:lineRule="auto"/>
              <w:rPr>
                <w:rFonts w:asciiTheme="majorHAnsi" w:hAnsiTheme="majorHAnsi" w:cstheme="majorHAnsi"/>
                <w:snapToGrid w:val="0"/>
                <w:sz w:val="18"/>
                <w:szCs w:val="18"/>
                <w:lang w:val="en-GB" w:eastAsia="en-GB"/>
              </w:rPr>
            </w:pPr>
          </w:p>
        </w:tc>
        <w:tc>
          <w:tcPr>
            <w:tcW w:w="0" w:type="auto"/>
            <w:vAlign w:val="center"/>
          </w:tcPr>
          <w:p w14:paraId="615D2B31"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4E4ED728"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41A10A00"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5A096E20"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1003" w:type="dxa"/>
            <w:vAlign w:val="center"/>
          </w:tcPr>
          <w:p w14:paraId="36D2B072"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1003" w:type="dxa"/>
            <w:vAlign w:val="center"/>
          </w:tcPr>
          <w:p w14:paraId="4BC7D1B1"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1003" w:type="dxa"/>
            <w:tcBorders>
              <w:right w:val="single" w:sz="4" w:space="0" w:color="auto"/>
            </w:tcBorders>
            <w:vAlign w:val="center"/>
          </w:tcPr>
          <w:p w14:paraId="4BC449B1"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r w:rsidRPr="00925091">
              <w:rPr>
                <w:rFonts w:asciiTheme="majorHAnsi" w:hAnsiTheme="majorHAnsi" w:cstheme="majorHAnsi"/>
                <w:sz w:val="18"/>
                <w:szCs w:val="18"/>
                <w:lang w:val="en-GB"/>
              </w:rPr>
              <w:t> </w:t>
            </w:r>
          </w:p>
        </w:tc>
      </w:tr>
      <w:tr w:rsidR="007B0AEA" w:rsidRPr="00925091" w14:paraId="4388FC31" w14:textId="77777777" w:rsidTr="007B0AEA">
        <w:trPr>
          <w:cantSplit/>
          <w:trHeight w:val="238"/>
          <w:jc w:val="center"/>
        </w:trPr>
        <w:tc>
          <w:tcPr>
            <w:tcW w:w="0" w:type="auto"/>
            <w:tcBorders>
              <w:left w:val="single" w:sz="4" w:space="0" w:color="auto"/>
            </w:tcBorders>
            <w:vAlign w:val="center"/>
          </w:tcPr>
          <w:p w14:paraId="311DAB2C" w14:textId="77777777" w:rsidR="007B0AEA" w:rsidRPr="00925091" w:rsidRDefault="007B0AEA" w:rsidP="007B0AEA">
            <w:pPr>
              <w:spacing w:before="0" w:after="0" w:line="269" w:lineRule="auto"/>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Region</w:t>
            </w:r>
          </w:p>
        </w:tc>
        <w:tc>
          <w:tcPr>
            <w:tcW w:w="0" w:type="auto"/>
            <w:vAlign w:val="center"/>
          </w:tcPr>
          <w:p w14:paraId="5A3C73FA"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5C3A121D"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3AD5C9A3"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0" w:type="auto"/>
            <w:vAlign w:val="center"/>
          </w:tcPr>
          <w:p w14:paraId="36A549A8"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1003" w:type="dxa"/>
            <w:vAlign w:val="center"/>
          </w:tcPr>
          <w:p w14:paraId="7E078AE5"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1003" w:type="dxa"/>
            <w:vAlign w:val="center"/>
          </w:tcPr>
          <w:p w14:paraId="02685D5E"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p>
        </w:tc>
        <w:tc>
          <w:tcPr>
            <w:tcW w:w="1003" w:type="dxa"/>
            <w:tcBorders>
              <w:right w:val="single" w:sz="4" w:space="0" w:color="auto"/>
            </w:tcBorders>
            <w:vAlign w:val="center"/>
          </w:tcPr>
          <w:p w14:paraId="78D2A175" w14:textId="77777777" w:rsidR="007B0AEA" w:rsidRPr="00925091" w:rsidRDefault="007B0AEA" w:rsidP="007B0AEA">
            <w:pPr>
              <w:spacing w:before="0" w:after="0" w:line="269" w:lineRule="auto"/>
              <w:jc w:val="right"/>
              <w:rPr>
                <w:rFonts w:asciiTheme="majorHAnsi" w:hAnsiTheme="majorHAnsi" w:cstheme="majorHAnsi"/>
                <w:snapToGrid w:val="0"/>
                <w:sz w:val="18"/>
                <w:szCs w:val="18"/>
                <w:lang w:val="en-GB" w:eastAsia="en-GB"/>
              </w:rPr>
            </w:pPr>
            <w:r w:rsidRPr="00925091">
              <w:rPr>
                <w:rFonts w:asciiTheme="majorHAnsi" w:hAnsiTheme="majorHAnsi" w:cstheme="majorHAnsi"/>
                <w:sz w:val="18"/>
                <w:szCs w:val="18"/>
                <w:lang w:val="en-GB"/>
              </w:rPr>
              <w:t> </w:t>
            </w:r>
          </w:p>
        </w:tc>
      </w:tr>
      <w:tr w:rsidR="007B0AEA" w:rsidRPr="00925091" w14:paraId="6015CE74" w14:textId="77777777" w:rsidTr="007B0AEA">
        <w:trPr>
          <w:cantSplit/>
          <w:trHeight w:val="238"/>
          <w:jc w:val="center"/>
        </w:trPr>
        <w:tc>
          <w:tcPr>
            <w:tcW w:w="0" w:type="auto"/>
            <w:tcBorders>
              <w:left w:val="single" w:sz="4" w:space="0" w:color="auto"/>
            </w:tcBorders>
            <w:vAlign w:val="center"/>
          </w:tcPr>
          <w:p w14:paraId="793FC9ED" w14:textId="77777777" w:rsidR="007B0AEA" w:rsidRPr="00925091" w:rsidRDefault="007B0AEA" w:rsidP="007B0AEA">
            <w:pPr>
              <w:spacing w:before="0" w:after="0" w:line="269" w:lineRule="auto"/>
              <w:ind w:left="144"/>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Belgrade</w:t>
            </w:r>
          </w:p>
        </w:tc>
        <w:tc>
          <w:tcPr>
            <w:tcW w:w="0" w:type="auto"/>
            <w:vAlign w:val="center"/>
          </w:tcPr>
          <w:p w14:paraId="1F32790B"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78</w:t>
            </w:r>
          </w:p>
        </w:tc>
        <w:tc>
          <w:tcPr>
            <w:tcW w:w="0" w:type="auto"/>
            <w:vAlign w:val="center"/>
          </w:tcPr>
          <w:p w14:paraId="6E5A5CDB"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63</w:t>
            </w:r>
          </w:p>
        </w:tc>
        <w:tc>
          <w:tcPr>
            <w:tcW w:w="0" w:type="auto"/>
            <w:vAlign w:val="center"/>
          </w:tcPr>
          <w:p w14:paraId="1BA930CD"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15</w:t>
            </w:r>
          </w:p>
        </w:tc>
        <w:tc>
          <w:tcPr>
            <w:tcW w:w="0" w:type="auto"/>
            <w:vAlign w:val="center"/>
          </w:tcPr>
          <w:p w14:paraId="44C1EA09"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p>
        </w:tc>
        <w:tc>
          <w:tcPr>
            <w:tcW w:w="1003" w:type="dxa"/>
            <w:vAlign w:val="center"/>
          </w:tcPr>
          <w:p w14:paraId="5E3C32A2" w14:textId="069904FD"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3,156</w:t>
            </w:r>
          </w:p>
        </w:tc>
        <w:tc>
          <w:tcPr>
            <w:tcW w:w="1003" w:type="dxa"/>
            <w:vAlign w:val="center"/>
          </w:tcPr>
          <w:p w14:paraId="466F691D" w14:textId="075D7915"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2,684</w:t>
            </w:r>
          </w:p>
        </w:tc>
        <w:tc>
          <w:tcPr>
            <w:tcW w:w="1003" w:type="dxa"/>
            <w:tcBorders>
              <w:right w:val="single" w:sz="4" w:space="0" w:color="auto"/>
            </w:tcBorders>
            <w:vAlign w:val="center"/>
          </w:tcPr>
          <w:p w14:paraId="3B204578"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472</w:t>
            </w:r>
          </w:p>
        </w:tc>
      </w:tr>
      <w:tr w:rsidR="007B0AEA" w:rsidRPr="00925091" w14:paraId="37E728BF" w14:textId="77777777" w:rsidTr="007B0AEA">
        <w:trPr>
          <w:cantSplit/>
          <w:trHeight w:val="238"/>
          <w:jc w:val="center"/>
        </w:trPr>
        <w:tc>
          <w:tcPr>
            <w:tcW w:w="0" w:type="auto"/>
            <w:tcBorders>
              <w:left w:val="single" w:sz="4" w:space="0" w:color="auto"/>
            </w:tcBorders>
            <w:vAlign w:val="center"/>
          </w:tcPr>
          <w:p w14:paraId="3F9E2B61" w14:textId="77777777" w:rsidR="007B0AEA" w:rsidRPr="00925091" w:rsidRDefault="007B0AEA" w:rsidP="007B0AEA">
            <w:pPr>
              <w:spacing w:before="0" w:after="0" w:line="269" w:lineRule="auto"/>
              <w:ind w:left="144"/>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Vojvodina</w:t>
            </w:r>
          </w:p>
        </w:tc>
        <w:tc>
          <w:tcPr>
            <w:tcW w:w="0" w:type="auto"/>
            <w:vAlign w:val="center"/>
          </w:tcPr>
          <w:p w14:paraId="31F31004"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62</w:t>
            </w:r>
          </w:p>
        </w:tc>
        <w:tc>
          <w:tcPr>
            <w:tcW w:w="0" w:type="auto"/>
            <w:vAlign w:val="center"/>
          </w:tcPr>
          <w:p w14:paraId="54BA32E2"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27</w:t>
            </w:r>
          </w:p>
        </w:tc>
        <w:tc>
          <w:tcPr>
            <w:tcW w:w="0" w:type="auto"/>
            <w:vAlign w:val="center"/>
          </w:tcPr>
          <w:p w14:paraId="063EE23F"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35</w:t>
            </w:r>
          </w:p>
        </w:tc>
        <w:tc>
          <w:tcPr>
            <w:tcW w:w="0" w:type="auto"/>
            <w:vAlign w:val="center"/>
          </w:tcPr>
          <w:p w14:paraId="357A2BB5"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p>
        </w:tc>
        <w:tc>
          <w:tcPr>
            <w:tcW w:w="1003" w:type="dxa"/>
            <w:vAlign w:val="center"/>
          </w:tcPr>
          <w:p w14:paraId="2AEB87A9" w14:textId="37611535"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2,272</w:t>
            </w:r>
          </w:p>
        </w:tc>
        <w:tc>
          <w:tcPr>
            <w:tcW w:w="1003" w:type="dxa"/>
            <w:vAlign w:val="center"/>
          </w:tcPr>
          <w:p w14:paraId="28C02E1F" w14:textId="27FAC62A"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1,135</w:t>
            </w:r>
          </w:p>
        </w:tc>
        <w:tc>
          <w:tcPr>
            <w:tcW w:w="1003" w:type="dxa"/>
            <w:tcBorders>
              <w:right w:val="single" w:sz="4" w:space="0" w:color="auto"/>
            </w:tcBorders>
            <w:vAlign w:val="center"/>
          </w:tcPr>
          <w:p w14:paraId="6FB618ED" w14:textId="474A42A1"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1,137</w:t>
            </w:r>
          </w:p>
        </w:tc>
      </w:tr>
      <w:tr w:rsidR="007B0AEA" w:rsidRPr="00925091" w14:paraId="5700B88C" w14:textId="77777777" w:rsidTr="007B0AEA">
        <w:trPr>
          <w:cantSplit/>
          <w:trHeight w:val="238"/>
          <w:jc w:val="center"/>
        </w:trPr>
        <w:tc>
          <w:tcPr>
            <w:tcW w:w="0" w:type="auto"/>
            <w:tcBorders>
              <w:left w:val="single" w:sz="4" w:space="0" w:color="auto"/>
            </w:tcBorders>
            <w:vAlign w:val="center"/>
          </w:tcPr>
          <w:p w14:paraId="3A12E98D" w14:textId="77777777" w:rsidR="007B0AEA" w:rsidRPr="00925091" w:rsidRDefault="007B0AEA" w:rsidP="007B0AEA">
            <w:pPr>
              <w:spacing w:before="0" w:after="0" w:line="269" w:lineRule="auto"/>
              <w:ind w:left="144"/>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Sumadija and Western Serbia</w:t>
            </w:r>
          </w:p>
        </w:tc>
        <w:tc>
          <w:tcPr>
            <w:tcW w:w="0" w:type="auto"/>
            <w:vAlign w:val="center"/>
          </w:tcPr>
          <w:p w14:paraId="0296889D"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61</w:t>
            </w:r>
          </w:p>
        </w:tc>
        <w:tc>
          <w:tcPr>
            <w:tcW w:w="0" w:type="auto"/>
            <w:vAlign w:val="center"/>
          </w:tcPr>
          <w:p w14:paraId="64039FF6"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26</w:t>
            </w:r>
          </w:p>
        </w:tc>
        <w:tc>
          <w:tcPr>
            <w:tcW w:w="0" w:type="auto"/>
            <w:vAlign w:val="center"/>
          </w:tcPr>
          <w:p w14:paraId="7A1C91A8"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35</w:t>
            </w:r>
          </w:p>
        </w:tc>
        <w:tc>
          <w:tcPr>
            <w:tcW w:w="0" w:type="auto"/>
            <w:vAlign w:val="center"/>
          </w:tcPr>
          <w:p w14:paraId="350CE373"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p>
        </w:tc>
        <w:tc>
          <w:tcPr>
            <w:tcW w:w="1003" w:type="dxa"/>
            <w:vAlign w:val="center"/>
          </w:tcPr>
          <w:p w14:paraId="4A7E91B6" w14:textId="22776E0B"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2,178</w:t>
            </w:r>
          </w:p>
        </w:tc>
        <w:tc>
          <w:tcPr>
            <w:tcW w:w="1003" w:type="dxa"/>
            <w:vAlign w:val="center"/>
          </w:tcPr>
          <w:p w14:paraId="74A8D246" w14:textId="5A910130"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1,038</w:t>
            </w:r>
          </w:p>
        </w:tc>
        <w:tc>
          <w:tcPr>
            <w:tcW w:w="1003" w:type="dxa"/>
            <w:tcBorders>
              <w:right w:val="single" w:sz="4" w:space="0" w:color="auto"/>
            </w:tcBorders>
            <w:vAlign w:val="center"/>
          </w:tcPr>
          <w:p w14:paraId="0B97BB7F" w14:textId="06EAE3EC"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1,140</w:t>
            </w:r>
          </w:p>
        </w:tc>
      </w:tr>
      <w:tr w:rsidR="007B0AEA" w:rsidRPr="00925091" w14:paraId="62914321" w14:textId="77777777" w:rsidTr="007B0AEA">
        <w:trPr>
          <w:cantSplit/>
          <w:trHeight w:val="238"/>
          <w:jc w:val="center"/>
        </w:trPr>
        <w:tc>
          <w:tcPr>
            <w:tcW w:w="0" w:type="auto"/>
            <w:tcBorders>
              <w:left w:val="single" w:sz="4" w:space="0" w:color="auto"/>
              <w:bottom w:val="single" w:sz="4" w:space="0" w:color="auto"/>
            </w:tcBorders>
            <w:vAlign w:val="center"/>
          </w:tcPr>
          <w:p w14:paraId="51B4C2A7" w14:textId="77777777" w:rsidR="007B0AEA" w:rsidRPr="00925091" w:rsidRDefault="007B0AEA" w:rsidP="007B0AEA">
            <w:pPr>
              <w:spacing w:before="0" w:after="0" w:line="269" w:lineRule="auto"/>
              <w:ind w:left="144"/>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Southern and Eastern Serbia</w:t>
            </w:r>
          </w:p>
        </w:tc>
        <w:tc>
          <w:tcPr>
            <w:tcW w:w="0" w:type="auto"/>
            <w:tcBorders>
              <w:bottom w:val="single" w:sz="4" w:space="0" w:color="auto"/>
            </w:tcBorders>
            <w:vAlign w:val="center"/>
          </w:tcPr>
          <w:p w14:paraId="1E9C5ACF"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171</w:t>
            </w:r>
          </w:p>
        </w:tc>
        <w:tc>
          <w:tcPr>
            <w:tcW w:w="0" w:type="auto"/>
            <w:tcBorders>
              <w:bottom w:val="single" w:sz="4" w:space="0" w:color="auto"/>
            </w:tcBorders>
            <w:vAlign w:val="center"/>
          </w:tcPr>
          <w:p w14:paraId="6F547E61"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121</w:t>
            </w:r>
          </w:p>
        </w:tc>
        <w:tc>
          <w:tcPr>
            <w:tcW w:w="0" w:type="auto"/>
            <w:tcBorders>
              <w:bottom w:val="single" w:sz="4" w:space="0" w:color="auto"/>
            </w:tcBorders>
            <w:vAlign w:val="center"/>
          </w:tcPr>
          <w:p w14:paraId="17813E82"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50</w:t>
            </w:r>
          </w:p>
        </w:tc>
        <w:tc>
          <w:tcPr>
            <w:tcW w:w="0" w:type="auto"/>
            <w:tcBorders>
              <w:bottom w:val="single" w:sz="4" w:space="0" w:color="auto"/>
            </w:tcBorders>
            <w:vAlign w:val="center"/>
          </w:tcPr>
          <w:p w14:paraId="5447D106" w14:textId="7777777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 </w:t>
            </w:r>
          </w:p>
        </w:tc>
        <w:tc>
          <w:tcPr>
            <w:tcW w:w="1003" w:type="dxa"/>
            <w:tcBorders>
              <w:bottom w:val="single" w:sz="4" w:space="0" w:color="auto"/>
            </w:tcBorders>
            <w:vAlign w:val="center"/>
          </w:tcPr>
          <w:p w14:paraId="622ABE2D" w14:textId="5AC56307"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7,932</w:t>
            </w:r>
          </w:p>
        </w:tc>
        <w:tc>
          <w:tcPr>
            <w:tcW w:w="1003" w:type="dxa"/>
            <w:tcBorders>
              <w:bottom w:val="single" w:sz="4" w:space="0" w:color="auto"/>
            </w:tcBorders>
            <w:vAlign w:val="center"/>
          </w:tcPr>
          <w:p w14:paraId="1CCEACE0" w14:textId="07E776AB"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6,268</w:t>
            </w:r>
          </w:p>
        </w:tc>
        <w:tc>
          <w:tcPr>
            <w:tcW w:w="1003" w:type="dxa"/>
            <w:tcBorders>
              <w:bottom w:val="single" w:sz="4" w:space="0" w:color="auto"/>
              <w:right w:val="single" w:sz="4" w:space="0" w:color="auto"/>
            </w:tcBorders>
            <w:vAlign w:val="center"/>
          </w:tcPr>
          <w:p w14:paraId="3FCACFC3" w14:textId="7C368882" w:rsidR="007B0AEA" w:rsidRPr="00925091" w:rsidRDefault="007B0AEA" w:rsidP="007B0AEA">
            <w:pPr>
              <w:spacing w:before="0" w:after="0" w:line="269" w:lineRule="auto"/>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1,664</w:t>
            </w:r>
          </w:p>
        </w:tc>
      </w:tr>
    </w:tbl>
    <w:p w14:paraId="53B38751" w14:textId="211E228C" w:rsidR="007B0AEA" w:rsidRPr="00925091" w:rsidRDefault="007B0AEA"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 xml:space="preserve">The overall sample size for the 2019 Serbia Roma Settlements MICS was calculated as 2,000 households and 100 </w:t>
      </w:r>
      <w:r w:rsidR="00441F95">
        <w:rPr>
          <w:rFonts w:asciiTheme="majorHAnsi" w:hAnsiTheme="majorHAnsi" w:cstheme="majorHAnsi"/>
          <w:snapToGrid w:val="0"/>
          <w:szCs w:val="22"/>
          <w:lang w:val="en-GB"/>
        </w:rPr>
        <w:t>EAs</w:t>
      </w:r>
      <w:r w:rsidRPr="00925091">
        <w:rPr>
          <w:rFonts w:asciiTheme="majorHAnsi" w:hAnsiTheme="majorHAnsi" w:cstheme="majorHAnsi"/>
          <w:snapToGrid w:val="0"/>
          <w:szCs w:val="22"/>
          <w:lang w:val="en-GB"/>
        </w:rPr>
        <w:t xml:space="preserve">. The sample size was determined based on a review of the 2014 Serbia Roma Settlements MICS results along with a discussion </w:t>
      </w:r>
      <w:r w:rsidR="00441F95" w:rsidRPr="00925091">
        <w:rPr>
          <w:rFonts w:asciiTheme="majorHAnsi" w:hAnsiTheme="majorHAnsi" w:cstheme="majorHAnsi"/>
          <w:snapToGrid w:val="0"/>
          <w:szCs w:val="22"/>
          <w:lang w:val="en-GB"/>
        </w:rPr>
        <w:t>o</w:t>
      </w:r>
      <w:r w:rsidR="00441F95">
        <w:rPr>
          <w:rFonts w:asciiTheme="majorHAnsi" w:hAnsiTheme="majorHAnsi" w:cstheme="majorHAnsi"/>
          <w:snapToGrid w:val="0"/>
          <w:szCs w:val="22"/>
          <w:lang w:val="en-GB"/>
        </w:rPr>
        <w:t>f</w:t>
      </w:r>
      <w:r w:rsidR="00441F95" w:rsidRPr="00925091">
        <w:rPr>
          <w:rFonts w:asciiTheme="majorHAnsi" w:hAnsiTheme="majorHAnsi" w:cstheme="majorHAnsi"/>
          <w:snapToGrid w:val="0"/>
          <w:szCs w:val="22"/>
          <w:lang w:val="en-GB"/>
        </w:rPr>
        <w:t xml:space="preserve"> </w:t>
      </w:r>
      <w:r w:rsidRPr="00925091">
        <w:rPr>
          <w:rFonts w:asciiTheme="majorHAnsi" w:hAnsiTheme="majorHAnsi" w:cstheme="majorHAnsi"/>
          <w:snapToGrid w:val="0"/>
          <w:szCs w:val="22"/>
          <w:lang w:val="en-GB"/>
        </w:rPr>
        <w:t>budget constraints. The tentatively planned sample size was further assessed by supplementary calculations using the MICS Sample Size Calculation Template. The following formula was used for the calculation:</w:t>
      </w:r>
    </w:p>
    <w:p w14:paraId="295B0A5D" w14:textId="77777777" w:rsidR="007B0AEA" w:rsidRPr="00925091" w:rsidRDefault="0033107F" w:rsidP="007B0AEA">
      <w:pPr>
        <w:spacing w:line="269" w:lineRule="auto"/>
        <w:jc w:val="center"/>
        <w:rPr>
          <w:rFonts w:asciiTheme="majorHAnsi" w:hAnsiTheme="majorHAnsi" w:cstheme="majorHAnsi"/>
          <w:snapToGrid w:val="0"/>
          <w:szCs w:val="22"/>
          <w:lang w:val="en-GB"/>
        </w:rPr>
      </w:pPr>
      <w:r w:rsidRPr="0033107F">
        <w:rPr>
          <w:rFonts w:asciiTheme="majorHAnsi" w:hAnsiTheme="majorHAnsi" w:cstheme="majorHAnsi"/>
          <w:noProof/>
          <w:position w:val="-28"/>
          <w:szCs w:val="22"/>
          <w:lang w:val="en-GB"/>
        </w:rPr>
        <w:object w:dxaOrig="3540" w:dyaOrig="660" w14:anchorId="3A294289">
          <v:shape id="_x0000_i1032" type="#_x0000_t75" alt="" style="width:174pt;height:30.75pt;mso-width-percent:0;mso-height-percent:0;mso-width-percent:0;mso-height-percent:0" o:ole="">
            <v:imagedata r:id="rId8" o:title=""/>
          </v:shape>
          <o:OLEObject Type="Embed" ProgID="Equation.3" ShapeID="_x0000_i1032" DrawAspect="Content" ObjectID="_1666521040" r:id="rId28"/>
        </w:object>
      </w:r>
      <w:r w:rsidR="007B0AEA" w:rsidRPr="00925091">
        <w:rPr>
          <w:rFonts w:asciiTheme="majorHAnsi" w:hAnsiTheme="majorHAnsi" w:cstheme="majorHAnsi"/>
          <w:snapToGrid w:val="0"/>
          <w:szCs w:val="22"/>
          <w:lang w:val="en-GB"/>
        </w:rPr>
        <w:t>,</w:t>
      </w:r>
    </w:p>
    <w:p w14:paraId="24A966C1" w14:textId="77777777" w:rsidR="007B0AEA" w:rsidRPr="00925091" w:rsidRDefault="007B0AEA" w:rsidP="007B0AEA">
      <w:pPr>
        <w:spacing w:line="269" w:lineRule="auto"/>
        <w:ind w:firstLine="720"/>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where:</w:t>
      </w:r>
    </w:p>
    <w:p w14:paraId="11D7D335" w14:textId="77777777" w:rsidR="007B0AEA" w:rsidRPr="00925091" w:rsidRDefault="007B0AEA" w:rsidP="007B0AEA">
      <w:pPr>
        <w:pStyle w:val="BodyText"/>
        <w:widowControl/>
        <w:spacing w:line="269" w:lineRule="auto"/>
        <w:ind w:left="1710" w:hanging="990"/>
        <w:rPr>
          <w:rFonts w:asciiTheme="majorHAnsi" w:hAnsiTheme="majorHAnsi" w:cstheme="majorHAnsi"/>
          <w:szCs w:val="22"/>
          <w:lang w:val="en-GB"/>
        </w:rPr>
      </w:pPr>
      <w:r w:rsidRPr="00925091">
        <w:rPr>
          <w:rFonts w:asciiTheme="majorHAnsi" w:hAnsiTheme="majorHAnsi" w:cstheme="majorHAnsi"/>
          <w:bCs/>
          <w:i/>
          <w:szCs w:val="22"/>
          <w:lang w:val="en-GB"/>
        </w:rPr>
        <w:t>n</w:t>
      </w:r>
      <w:r w:rsidRPr="00925091">
        <w:rPr>
          <w:rFonts w:asciiTheme="majorHAnsi" w:hAnsiTheme="majorHAnsi" w:cstheme="majorHAnsi"/>
          <w:bCs/>
          <w:szCs w:val="22"/>
          <w:lang w:val="en-GB"/>
        </w:rPr>
        <w:t xml:space="preserve"> =</w:t>
      </w:r>
      <w:r w:rsidRPr="00925091">
        <w:rPr>
          <w:rFonts w:asciiTheme="majorHAnsi" w:hAnsiTheme="majorHAnsi" w:cstheme="majorHAnsi"/>
          <w:bCs/>
          <w:szCs w:val="22"/>
          <w:lang w:val="en-GB"/>
        </w:rPr>
        <w:tab/>
      </w:r>
      <w:r w:rsidRPr="00925091">
        <w:rPr>
          <w:rFonts w:asciiTheme="majorHAnsi" w:hAnsiTheme="majorHAnsi" w:cstheme="majorHAnsi"/>
          <w:szCs w:val="22"/>
          <w:lang w:val="en-GB"/>
        </w:rPr>
        <w:t>the required sample size, expressed as number of households</w:t>
      </w:r>
    </w:p>
    <w:p w14:paraId="1FCE4A9C" w14:textId="77777777" w:rsidR="007B0AEA" w:rsidRPr="00925091" w:rsidRDefault="007B0AEA" w:rsidP="007B0AEA">
      <w:pPr>
        <w:pStyle w:val="BodyText"/>
        <w:widowControl/>
        <w:spacing w:line="269" w:lineRule="auto"/>
        <w:ind w:left="1710" w:hanging="990"/>
        <w:rPr>
          <w:rFonts w:asciiTheme="majorHAnsi" w:hAnsiTheme="majorHAnsi" w:cstheme="majorHAnsi"/>
          <w:szCs w:val="22"/>
          <w:lang w:val="en-GB"/>
        </w:rPr>
      </w:pPr>
      <w:r w:rsidRPr="00925091">
        <w:rPr>
          <w:rFonts w:asciiTheme="majorHAnsi" w:hAnsiTheme="majorHAnsi" w:cstheme="majorHAnsi"/>
          <w:bCs/>
          <w:i/>
          <w:szCs w:val="22"/>
          <w:lang w:val="en-GB"/>
        </w:rPr>
        <w:t>4</w:t>
      </w:r>
      <w:r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ab/>
        <w:t>a factor to achieve the 95 percent level of confidence</w:t>
      </w:r>
    </w:p>
    <w:p w14:paraId="4810F88C" w14:textId="77777777" w:rsidR="007B0AEA" w:rsidRPr="00925091" w:rsidRDefault="007B0AEA" w:rsidP="007B0AEA">
      <w:pPr>
        <w:pStyle w:val="BodyText"/>
        <w:widowControl/>
        <w:spacing w:line="269" w:lineRule="auto"/>
        <w:ind w:left="1710" w:hanging="990"/>
        <w:rPr>
          <w:rFonts w:asciiTheme="majorHAnsi" w:hAnsiTheme="majorHAnsi" w:cstheme="majorHAnsi"/>
          <w:szCs w:val="22"/>
          <w:lang w:val="en-GB"/>
        </w:rPr>
      </w:pPr>
      <w:r w:rsidRPr="00925091">
        <w:rPr>
          <w:rFonts w:asciiTheme="majorHAnsi" w:hAnsiTheme="majorHAnsi" w:cstheme="majorHAnsi"/>
          <w:bCs/>
          <w:i/>
          <w:szCs w:val="22"/>
          <w:lang w:val="en-GB"/>
        </w:rPr>
        <w:t>r</w:t>
      </w:r>
      <w:r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ab/>
        <w:t>the predicted or anticipated value of the indicator, expressed in the form of a proportion</w:t>
      </w:r>
    </w:p>
    <w:p w14:paraId="4E1BDD56" w14:textId="77777777" w:rsidR="007B0AEA" w:rsidRPr="00925091" w:rsidRDefault="007B0AEA" w:rsidP="007B0AEA">
      <w:pPr>
        <w:pStyle w:val="BodyText"/>
        <w:widowControl/>
        <w:suppressAutoHyphens/>
        <w:spacing w:line="269" w:lineRule="auto"/>
        <w:ind w:left="1710" w:hanging="990"/>
        <w:rPr>
          <w:rFonts w:asciiTheme="majorHAnsi" w:hAnsiTheme="majorHAnsi" w:cstheme="majorHAnsi"/>
          <w:szCs w:val="22"/>
          <w:lang w:val="en-GB"/>
        </w:rPr>
      </w:pPr>
      <w:r w:rsidRPr="00925091">
        <w:rPr>
          <w:rFonts w:asciiTheme="majorHAnsi" w:hAnsiTheme="majorHAnsi" w:cstheme="majorHAnsi"/>
          <w:bCs/>
          <w:i/>
          <w:szCs w:val="22"/>
          <w:lang w:val="en-GB"/>
        </w:rPr>
        <w:lastRenderedPageBreak/>
        <w:t>deff</w:t>
      </w:r>
      <w:r w:rsidRPr="00925091">
        <w:rPr>
          <w:rFonts w:asciiTheme="majorHAnsi" w:hAnsiTheme="majorHAnsi" w:cstheme="majorHAnsi"/>
          <w:bCs/>
          <w:szCs w:val="22"/>
          <w:lang w:val="en-GB"/>
        </w:rPr>
        <w:t xml:space="preserve"> =</w:t>
      </w:r>
      <w:r w:rsidRPr="00925091">
        <w:rPr>
          <w:rFonts w:asciiTheme="majorHAnsi" w:hAnsiTheme="majorHAnsi" w:cstheme="majorHAnsi"/>
          <w:bCs/>
          <w:szCs w:val="22"/>
          <w:lang w:val="en-GB"/>
        </w:rPr>
        <w:tab/>
      </w:r>
      <w:r w:rsidRPr="00925091">
        <w:rPr>
          <w:rFonts w:asciiTheme="majorHAnsi" w:hAnsiTheme="majorHAnsi" w:cstheme="majorHAnsi"/>
          <w:szCs w:val="22"/>
          <w:lang w:val="en-GB"/>
        </w:rPr>
        <w:t>the design effect for the indicator, estimated from a previous survey or using a default value of 1.5</w:t>
      </w:r>
    </w:p>
    <w:p w14:paraId="1E071B37" w14:textId="77777777" w:rsidR="007B0AEA" w:rsidRPr="00925091" w:rsidRDefault="007B0AEA" w:rsidP="007B0AEA">
      <w:pPr>
        <w:pStyle w:val="BodyText"/>
        <w:widowControl/>
        <w:spacing w:line="269" w:lineRule="auto"/>
        <w:ind w:left="1710" w:hanging="990"/>
        <w:rPr>
          <w:rFonts w:asciiTheme="majorHAnsi" w:hAnsiTheme="majorHAnsi" w:cstheme="majorHAnsi"/>
          <w:szCs w:val="22"/>
          <w:lang w:val="en-GB"/>
        </w:rPr>
      </w:pPr>
      <w:r w:rsidRPr="00925091">
        <w:rPr>
          <w:rFonts w:asciiTheme="majorHAnsi" w:hAnsiTheme="majorHAnsi" w:cstheme="majorHAnsi"/>
          <w:bCs/>
          <w:i/>
          <w:szCs w:val="22"/>
          <w:lang w:val="en-GB"/>
        </w:rPr>
        <w:t>RME</w:t>
      </w:r>
      <w:r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ab/>
        <w:t>the relative margin of error of r to be tolerated at the 95 percent level of confidence; it is generally not more that 0.12 (12 percent) for national-level estimates</w:t>
      </w:r>
    </w:p>
    <w:p w14:paraId="11ABC0D6" w14:textId="77777777" w:rsidR="007B0AEA" w:rsidRPr="00925091" w:rsidRDefault="007B0AEA" w:rsidP="007B0AEA">
      <w:pPr>
        <w:pStyle w:val="BodyText"/>
        <w:widowControl/>
        <w:spacing w:line="269" w:lineRule="auto"/>
        <w:ind w:left="1710" w:hanging="990"/>
        <w:rPr>
          <w:rFonts w:asciiTheme="majorHAnsi" w:hAnsiTheme="majorHAnsi" w:cstheme="majorHAnsi"/>
          <w:szCs w:val="22"/>
          <w:lang w:val="en-GB"/>
        </w:rPr>
      </w:pPr>
      <w:r w:rsidRPr="00925091">
        <w:rPr>
          <w:rFonts w:asciiTheme="majorHAnsi" w:hAnsiTheme="majorHAnsi" w:cstheme="majorHAnsi"/>
          <w:bCs/>
          <w:i/>
          <w:szCs w:val="22"/>
          <w:lang w:val="en-GB"/>
        </w:rPr>
        <w:t>pb</w:t>
      </w:r>
      <w:r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ab/>
        <w:t xml:space="preserve">the proportion of the total population upon which the indicator, </w:t>
      </w:r>
      <w:r w:rsidRPr="00925091">
        <w:rPr>
          <w:rFonts w:asciiTheme="majorHAnsi" w:hAnsiTheme="majorHAnsi" w:cstheme="majorHAnsi"/>
          <w:i/>
          <w:szCs w:val="22"/>
          <w:lang w:val="en-GB"/>
        </w:rPr>
        <w:t>r</w:t>
      </w:r>
      <w:r w:rsidRPr="00925091">
        <w:rPr>
          <w:rFonts w:asciiTheme="majorHAnsi" w:hAnsiTheme="majorHAnsi" w:cstheme="majorHAnsi"/>
          <w:szCs w:val="22"/>
          <w:lang w:val="en-GB"/>
        </w:rPr>
        <w:t>, is based</w:t>
      </w:r>
    </w:p>
    <w:p w14:paraId="05117988" w14:textId="77777777" w:rsidR="007B0AEA" w:rsidRPr="00925091" w:rsidRDefault="007B0AEA" w:rsidP="007B0AEA">
      <w:pPr>
        <w:pStyle w:val="BodyText"/>
        <w:widowControl/>
        <w:spacing w:line="269" w:lineRule="auto"/>
        <w:ind w:left="1710" w:hanging="990"/>
        <w:rPr>
          <w:rFonts w:asciiTheme="majorHAnsi" w:hAnsiTheme="majorHAnsi" w:cstheme="majorHAnsi"/>
          <w:szCs w:val="22"/>
          <w:lang w:val="en-GB"/>
        </w:rPr>
      </w:pPr>
      <w:r w:rsidRPr="00925091">
        <w:rPr>
          <w:rFonts w:asciiTheme="majorHAnsi" w:hAnsiTheme="majorHAnsi" w:cstheme="majorHAnsi"/>
          <w:bCs/>
          <w:i/>
          <w:szCs w:val="22"/>
          <w:lang w:val="en-GB"/>
        </w:rPr>
        <w:t xml:space="preserve">AveSize </w:t>
      </w:r>
      <w:r w:rsidRPr="00925091">
        <w:rPr>
          <w:rFonts w:asciiTheme="majorHAnsi" w:hAnsiTheme="majorHAnsi" w:cstheme="majorHAnsi"/>
          <w:bCs/>
          <w:szCs w:val="22"/>
          <w:lang w:val="en-GB"/>
        </w:rPr>
        <w:t>=</w:t>
      </w:r>
      <w:r w:rsidRPr="00925091">
        <w:rPr>
          <w:rFonts w:asciiTheme="majorHAnsi" w:hAnsiTheme="majorHAnsi" w:cstheme="majorHAnsi"/>
          <w:bCs/>
          <w:szCs w:val="22"/>
          <w:lang w:val="en-GB"/>
        </w:rPr>
        <w:tab/>
      </w:r>
      <w:r w:rsidRPr="00925091">
        <w:rPr>
          <w:rFonts w:asciiTheme="majorHAnsi" w:hAnsiTheme="majorHAnsi" w:cstheme="majorHAnsi"/>
          <w:szCs w:val="22"/>
          <w:lang w:val="en-GB"/>
        </w:rPr>
        <w:t>the average household size (mean number of persons per household)</w:t>
      </w:r>
    </w:p>
    <w:p w14:paraId="0A701B32" w14:textId="77777777" w:rsidR="007B0AEA" w:rsidRPr="00925091" w:rsidRDefault="007B0AEA" w:rsidP="007B0AEA">
      <w:pPr>
        <w:pStyle w:val="BodyText"/>
        <w:widowControl/>
        <w:spacing w:line="269" w:lineRule="auto"/>
        <w:ind w:left="1710" w:hanging="990"/>
        <w:rPr>
          <w:rFonts w:asciiTheme="majorHAnsi" w:hAnsiTheme="majorHAnsi" w:cstheme="majorHAnsi"/>
          <w:szCs w:val="22"/>
          <w:lang w:val="en-GB"/>
        </w:rPr>
      </w:pPr>
      <w:r w:rsidRPr="00925091">
        <w:rPr>
          <w:rFonts w:asciiTheme="majorHAnsi" w:hAnsiTheme="majorHAnsi" w:cstheme="majorHAnsi"/>
          <w:i/>
          <w:szCs w:val="22"/>
          <w:lang w:val="en-GB"/>
        </w:rPr>
        <w:t>RR</w:t>
      </w:r>
      <w:r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ab/>
        <w:t>the predicted response rate</w:t>
      </w:r>
    </w:p>
    <w:p w14:paraId="09CFF6E7" w14:textId="7FAA256D" w:rsidR="007B0AEA" w:rsidRPr="00925091" w:rsidRDefault="007B0AEA" w:rsidP="00550262">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 xml:space="preserve">Multiple exercises were carried out to determine sample size using the estimates from 2014 MICS, including the following: </w:t>
      </w:r>
      <w:r w:rsidR="00441F95">
        <w:rPr>
          <w:rFonts w:asciiTheme="majorHAnsi" w:hAnsiTheme="majorHAnsi" w:cstheme="majorHAnsi"/>
          <w:snapToGrid w:val="0"/>
          <w:szCs w:val="22"/>
          <w:lang w:val="en-GB"/>
        </w:rPr>
        <w:t>‘</w:t>
      </w:r>
      <w:r w:rsidRPr="00925091">
        <w:rPr>
          <w:rFonts w:asciiTheme="majorHAnsi" w:hAnsiTheme="majorHAnsi" w:cstheme="majorHAnsi"/>
          <w:snapToGrid w:val="0"/>
          <w:szCs w:val="22"/>
          <w:lang w:val="en-GB"/>
        </w:rPr>
        <w:t xml:space="preserve">Stunting </w:t>
      </w:r>
      <w:r w:rsidRPr="00925091">
        <w:rPr>
          <w:rFonts w:asciiTheme="majorHAnsi" w:hAnsiTheme="majorHAnsi" w:cstheme="majorHAnsi"/>
          <w:snapToGrid w:val="0"/>
          <w:spacing w:val="-2"/>
          <w:szCs w:val="22"/>
          <w:lang w:val="en-GB"/>
        </w:rPr>
        <w:t>prevalence</w:t>
      </w:r>
      <w:r w:rsidR="00441F95">
        <w:rPr>
          <w:rFonts w:asciiTheme="majorHAnsi" w:hAnsiTheme="majorHAnsi" w:cstheme="majorHAnsi"/>
          <w:snapToGrid w:val="0"/>
          <w:spacing w:val="-2"/>
          <w:szCs w:val="22"/>
          <w:lang w:val="en-GB"/>
        </w:rPr>
        <w:t>’</w:t>
      </w:r>
      <w:r w:rsidRPr="00925091">
        <w:rPr>
          <w:rFonts w:asciiTheme="majorHAnsi" w:hAnsiTheme="majorHAnsi" w:cstheme="majorHAnsi"/>
          <w:snapToGrid w:val="0"/>
          <w:spacing w:val="-2"/>
          <w:szCs w:val="22"/>
          <w:lang w:val="en-GB"/>
        </w:rPr>
        <w:t xml:space="preserve"> for children under </w:t>
      </w:r>
      <w:r w:rsidR="00441F95">
        <w:rPr>
          <w:rFonts w:asciiTheme="majorHAnsi" w:hAnsiTheme="majorHAnsi" w:cstheme="majorHAnsi"/>
          <w:snapToGrid w:val="0"/>
          <w:spacing w:val="-2"/>
          <w:szCs w:val="22"/>
          <w:lang w:val="en-GB"/>
        </w:rPr>
        <w:t>five</w:t>
      </w:r>
      <w:r w:rsidRPr="00925091">
        <w:rPr>
          <w:rFonts w:asciiTheme="majorHAnsi" w:hAnsiTheme="majorHAnsi" w:cstheme="majorHAnsi"/>
          <w:snapToGrid w:val="0"/>
          <w:spacing w:val="-2"/>
          <w:szCs w:val="22"/>
          <w:lang w:val="en-GB"/>
        </w:rPr>
        <w:t xml:space="preserve">, with a 2014 MICS estimate of 19 percent and 20 percent RME for the Roma </w:t>
      </w:r>
      <w:r w:rsidR="00DB4878" w:rsidRPr="00925091">
        <w:rPr>
          <w:rFonts w:asciiTheme="majorHAnsi" w:hAnsiTheme="majorHAnsi" w:cstheme="majorHAnsi"/>
          <w:snapToGrid w:val="0"/>
          <w:spacing w:val="-2"/>
          <w:szCs w:val="22"/>
          <w:lang w:val="en-GB"/>
        </w:rPr>
        <w:t>s</w:t>
      </w:r>
      <w:r w:rsidRPr="00925091">
        <w:rPr>
          <w:rFonts w:asciiTheme="majorHAnsi" w:hAnsiTheme="majorHAnsi" w:cstheme="majorHAnsi"/>
          <w:snapToGrid w:val="0"/>
          <w:spacing w:val="-2"/>
          <w:szCs w:val="22"/>
          <w:lang w:val="en-GB"/>
        </w:rPr>
        <w:t xml:space="preserve">ettlements in Serbia, the calculated sample size was 2,119 households; </w:t>
      </w:r>
      <w:r w:rsidR="00441F95">
        <w:rPr>
          <w:rFonts w:asciiTheme="majorHAnsi" w:hAnsiTheme="majorHAnsi" w:cstheme="majorHAnsi"/>
          <w:snapToGrid w:val="0"/>
          <w:spacing w:val="-2"/>
          <w:szCs w:val="22"/>
          <w:lang w:val="en-GB"/>
        </w:rPr>
        <w:t>‘</w:t>
      </w:r>
      <w:r w:rsidRPr="00925091">
        <w:rPr>
          <w:rFonts w:asciiTheme="majorHAnsi" w:hAnsiTheme="majorHAnsi" w:cstheme="majorHAnsi"/>
          <w:snapToGrid w:val="0"/>
          <w:spacing w:val="-2"/>
          <w:szCs w:val="22"/>
          <w:lang w:val="en-GB"/>
        </w:rPr>
        <w:t xml:space="preserve">Unmet need’ for </w:t>
      </w:r>
      <w:r w:rsidR="000E7C5F">
        <w:rPr>
          <w:rFonts w:asciiTheme="majorHAnsi" w:hAnsiTheme="majorHAnsi" w:cstheme="majorHAnsi"/>
          <w:snapToGrid w:val="0"/>
          <w:spacing w:val="-2"/>
          <w:szCs w:val="22"/>
          <w:lang w:val="en-GB"/>
        </w:rPr>
        <w:t xml:space="preserve">women </w:t>
      </w:r>
      <w:r w:rsidR="0078498B">
        <w:rPr>
          <w:rFonts w:asciiTheme="majorHAnsi" w:hAnsiTheme="majorHAnsi" w:cstheme="majorHAnsi"/>
          <w:snapToGrid w:val="0"/>
          <w:spacing w:val="-2"/>
          <w:szCs w:val="22"/>
          <w:lang w:val="en-GB"/>
        </w:rPr>
        <w:t>aged</w:t>
      </w:r>
      <w:r w:rsidRPr="00925091">
        <w:rPr>
          <w:rFonts w:asciiTheme="majorHAnsi" w:hAnsiTheme="majorHAnsi" w:cstheme="majorHAnsi"/>
          <w:snapToGrid w:val="0"/>
          <w:spacing w:val="-2"/>
          <w:szCs w:val="22"/>
          <w:lang w:val="en-GB"/>
        </w:rPr>
        <w:t xml:space="preserve"> 1</w:t>
      </w:r>
      <w:r w:rsidR="00B028AA" w:rsidRPr="00925091">
        <w:rPr>
          <w:rFonts w:asciiTheme="majorHAnsi" w:hAnsiTheme="majorHAnsi" w:cstheme="majorHAnsi"/>
          <w:snapToGrid w:val="0"/>
          <w:spacing w:val="-2"/>
          <w:szCs w:val="22"/>
          <w:lang w:val="en-GB"/>
        </w:rPr>
        <w:t>5–4</w:t>
      </w:r>
      <w:r w:rsidRPr="00925091">
        <w:rPr>
          <w:rFonts w:asciiTheme="majorHAnsi" w:hAnsiTheme="majorHAnsi" w:cstheme="majorHAnsi"/>
          <w:snapToGrid w:val="0"/>
          <w:spacing w:val="-2"/>
          <w:szCs w:val="22"/>
          <w:lang w:val="en-GB"/>
        </w:rPr>
        <w:t xml:space="preserve">9 years, with a 2014 MICS estimate of 14 percent and 15 percent RME for Roma </w:t>
      </w:r>
      <w:r w:rsidR="00DB4878" w:rsidRPr="00925091">
        <w:rPr>
          <w:rFonts w:asciiTheme="majorHAnsi" w:hAnsiTheme="majorHAnsi" w:cstheme="majorHAnsi"/>
          <w:snapToGrid w:val="0"/>
          <w:spacing w:val="-2"/>
          <w:szCs w:val="22"/>
          <w:lang w:val="en-GB"/>
        </w:rPr>
        <w:t>s</w:t>
      </w:r>
      <w:r w:rsidRPr="00925091">
        <w:rPr>
          <w:rFonts w:asciiTheme="majorHAnsi" w:hAnsiTheme="majorHAnsi" w:cstheme="majorHAnsi"/>
          <w:snapToGrid w:val="0"/>
          <w:spacing w:val="-2"/>
          <w:szCs w:val="22"/>
          <w:lang w:val="en-GB"/>
        </w:rPr>
        <w:t xml:space="preserve">ettlements, the calculated sample size was 1,939 households; and </w:t>
      </w:r>
      <w:r w:rsidR="00441F95">
        <w:rPr>
          <w:rFonts w:asciiTheme="majorHAnsi" w:hAnsiTheme="majorHAnsi" w:cstheme="majorHAnsi"/>
          <w:snapToGrid w:val="0"/>
          <w:spacing w:val="-2"/>
          <w:szCs w:val="22"/>
          <w:lang w:val="en-GB"/>
        </w:rPr>
        <w:t>‘</w:t>
      </w:r>
      <w:r w:rsidRPr="00925091">
        <w:rPr>
          <w:rFonts w:asciiTheme="majorHAnsi" w:hAnsiTheme="majorHAnsi" w:cstheme="majorHAnsi"/>
          <w:snapToGrid w:val="0"/>
          <w:spacing w:val="-2"/>
          <w:szCs w:val="22"/>
          <w:lang w:val="en-GB"/>
        </w:rPr>
        <w:t xml:space="preserve">Marriage before age </w:t>
      </w:r>
      <w:r w:rsidR="00441F95" w:rsidRPr="00925091">
        <w:rPr>
          <w:rFonts w:asciiTheme="majorHAnsi" w:hAnsiTheme="majorHAnsi" w:cstheme="majorHAnsi"/>
          <w:snapToGrid w:val="0"/>
          <w:spacing w:val="-2"/>
          <w:szCs w:val="22"/>
          <w:lang w:val="en-GB"/>
        </w:rPr>
        <w:t>18</w:t>
      </w:r>
      <w:r w:rsidR="00441F95">
        <w:rPr>
          <w:rFonts w:asciiTheme="majorHAnsi" w:hAnsiTheme="majorHAnsi" w:cstheme="majorHAnsi"/>
          <w:snapToGrid w:val="0"/>
          <w:spacing w:val="-2"/>
          <w:szCs w:val="22"/>
          <w:lang w:val="en-GB"/>
        </w:rPr>
        <w:t>’</w:t>
      </w:r>
      <w:r w:rsidR="00441F95" w:rsidRPr="00925091">
        <w:rPr>
          <w:rFonts w:asciiTheme="majorHAnsi" w:hAnsiTheme="majorHAnsi" w:cstheme="majorHAnsi"/>
          <w:snapToGrid w:val="0"/>
          <w:spacing w:val="-2"/>
          <w:szCs w:val="22"/>
          <w:lang w:val="en-GB"/>
        </w:rPr>
        <w:t xml:space="preserve">’ </w:t>
      </w:r>
      <w:r w:rsidRPr="00925091">
        <w:rPr>
          <w:rFonts w:asciiTheme="majorHAnsi" w:hAnsiTheme="majorHAnsi" w:cstheme="majorHAnsi"/>
          <w:snapToGrid w:val="0"/>
          <w:spacing w:val="-2"/>
          <w:szCs w:val="22"/>
          <w:lang w:val="en-GB"/>
        </w:rPr>
        <w:t xml:space="preserve">for </w:t>
      </w:r>
      <w:r w:rsidR="000E7C5F">
        <w:rPr>
          <w:rFonts w:asciiTheme="majorHAnsi" w:hAnsiTheme="majorHAnsi" w:cstheme="majorHAnsi"/>
          <w:snapToGrid w:val="0"/>
          <w:spacing w:val="-2"/>
          <w:szCs w:val="22"/>
          <w:lang w:val="en-GB"/>
        </w:rPr>
        <w:t xml:space="preserve">women </w:t>
      </w:r>
      <w:r w:rsidR="0078498B">
        <w:rPr>
          <w:rFonts w:asciiTheme="majorHAnsi" w:hAnsiTheme="majorHAnsi" w:cstheme="majorHAnsi"/>
          <w:snapToGrid w:val="0"/>
          <w:spacing w:val="-2"/>
          <w:szCs w:val="22"/>
          <w:lang w:val="en-GB"/>
        </w:rPr>
        <w:t>aged</w:t>
      </w:r>
      <w:r w:rsidRPr="00925091">
        <w:rPr>
          <w:rFonts w:asciiTheme="majorHAnsi" w:hAnsiTheme="majorHAnsi" w:cstheme="majorHAnsi"/>
          <w:snapToGrid w:val="0"/>
          <w:spacing w:val="-2"/>
          <w:szCs w:val="22"/>
          <w:lang w:val="en-GB"/>
        </w:rPr>
        <w:t xml:space="preserve"> 1</w:t>
      </w:r>
      <w:r w:rsidR="00B028AA" w:rsidRPr="00925091">
        <w:rPr>
          <w:rFonts w:asciiTheme="majorHAnsi" w:hAnsiTheme="majorHAnsi" w:cstheme="majorHAnsi"/>
          <w:snapToGrid w:val="0"/>
          <w:spacing w:val="-2"/>
          <w:szCs w:val="22"/>
          <w:lang w:val="en-GB"/>
        </w:rPr>
        <w:t>5–4</w:t>
      </w:r>
      <w:r w:rsidRPr="00925091">
        <w:rPr>
          <w:rFonts w:asciiTheme="majorHAnsi" w:hAnsiTheme="majorHAnsi" w:cstheme="majorHAnsi"/>
          <w:snapToGrid w:val="0"/>
          <w:spacing w:val="-2"/>
          <w:szCs w:val="22"/>
          <w:lang w:val="en-GB"/>
        </w:rPr>
        <w:t>9 years, with a 2014 MICS estimate of 57 percent and 5 percent RME</w:t>
      </w:r>
      <w:r w:rsidRPr="00925091">
        <w:rPr>
          <w:rFonts w:asciiTheme="majorHAnsi" w:hAnsiTheme="majorHAnsi" w:cstheme="majorHAnsi"/>
          <w:snapToGrid w:val="0"/>
          <w:szCs w:val="22"/>
          <w:lang w:val="en-GB"/>
        </w:rPr>
        <w:t>, the calculated sample size was 1,978 households.</w:t>
      </w:r>
    </w:p>
    <w:p w14:paraId="0A3FB611" w14:textId="26E49AF3" w:rsidR="007B0AEA" w:rsidRPr="00925091" w:rsidRDefault="007B0AEA"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Sample size estimates were also calculated for urban and other domains of Serbia Roma Settlements using the various indicators, as follows: ‘Stunting prevalence’ with a calculated overall sample size of 3,954 households for the total level and 20 percent RME per domain; ‘Unmet need’ with calculated overall sample size of 1,946 households for the total level and 20 percent RME per domain; ‘Marriage before age 18’ with overall sample size of 2104 households for the total level and 7 percent RME per domain.</w:t>
      </w:r>
    </w:p>
    <w:p w14:paraId="49385BDA" w14:textId="6945C656" w:rsidR="007B0AEA" w:rsidRPr="00925091" w:rsidRDefault="007B0AEA"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Based on the review of MICS5 results, the calculation of the required sample size for various indicators, the sufficient number of observations for the basic sub-populations, and considering also aspects related to quality control and availability of resources, it was calculated to have a minimum sample size of 1,3</w:t>
      </w:r>
      <w:r w:rsidR="000A02EE" w:rsidRPr="00925091">
        <w:rPr>
          <w:rFonts w:asciiTheme="majorHAnsi" w:hAnsiTheme="majorHAnsi" w:cstheme="majorHAnsi"/>
          <w:snapToGrid w:val="0"/>
          <w:szCs w:val="22"/>
          <w:lang w:val="en-GB"/>
        </w:rPr>
        <w:t>6</w:t>
      </w:r>
      <w:r w:rsidRPr="00925091">
        <w:rPr>
          <w:rFonts w:asciiTheme="majorHAnsi" w:hAnsiTheme="majorHAnsi" w:cstheme="majorHAnsi"/>
          <w:snapToGrid w:val="0"/>
          <w:szCs w:val="22"/>
          <w:lang w:val="en-GB"/>
        </w:rPr>
        <w:t>0 households for the urban domain and 640 households for the other domain. Therefore, the total sample size for the Serbia Roma Settlements at the national level was 2,000 households.</w:t>
      </w:r>
    </w:p>
    <w:p w14:paraId="1228A472" w14:textId="3B81C3B8" w:rsidR="007B0AEA" w:rsidRPr="00925091" w:rsidRDefault="007B0AEA"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The number of households selected per cluster for the 2019 Serbia Roma Settlements MICS was determined as 20 households, based on several considerations, including the design effect, the budget available, and the time that would be needed per team to complete one cluster. Dividing the total number of households by the number of sample households per cluster, it was calculated that 100 sample clusters need</w:t>
      </w:r>
      <w:r w:rsidR="007E2248" w:rsidRPr="00925091">
        <w:rPr>
          <w:rFonts w:asciiTheme="majorHAnsi" w:hAnsiTheme="majorHAnsi" w:cstheme="majorHAnsi"/>
          <w:snapToGrid w:val="0"/>
          <w:szCs w:val="22"/>
          <w:lang w:val="en-GB"/>
        </w:rPr>
        <w:t>ed</w:t>
      </w:r>
      <w:r w:rsidRPr="00925091">
        <w:rPr>
          <w:rFonts w:asciiTheme="majorHAnsi" w:hAnsiTheme="majorHAnsi" w:cstheme="majorHAnsi"/>
          <w:snapToGrid w:val="0"/>
          <w:szCs w:val="22"/>
          <w:lang w:val="en-GB"/>
        </w:rPr>
        <w:t xml:space="preserve"> to be selected.</w:t>
      </w:r>
    </w:p>
    <w:p w14:paraId="3C39729F" w14:textId="2B1927F5" w:rsidR="007B0AEA" w:rsidRPr="00925091" w:rsidRDefault="007B0AEA"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 xml:space="preserve">The allocation of the sample to the strata was not proportional to the number of Roma households. In order to produce estimates with better precision for the other domain, the number of </w:t>
      </w:r>
      <w:r w:rsidR="00441F95">
        <w:rPr>
          <w:rFonts w:asciiTheme="majorHAnsi" w:hAnsiTheme="majorHAnsi" w:cstheme="majorHAnsi"/>
          <w:snapToGrid w:val="0"/>
          <w:szCs w:val="22"/>
          <w:lang w:val="en-GB"/>
        </w:rPr>
        <w:t>EAs</w:t>
      </w:r>
      <w:r w:rsidRPr="00925091">
        <w:rPr>
          <w:rFonts w:asciiTheme="majorHAnsi" w:hAnsiTheme="majorHAnsi" w:cstheme="majorHAnsi"/>
          <w:snapToGrid w:val="0"/>
          <w:szCs w:val="22"/>
          <w:lang w:val="en-GB"/>
        </w:rPr>
        <w:t xml:space="preserve"> for the urban domain was reduced by four and allocated to the other domain. The table below shows the allocation of clusters to the sampling strata.</w:t>
      </w:r>
    </w:p>
    <w:tbl>
      <w:tblPr>
        <w:tblW w:w="0" w:type="auto"/>
        <w:jc w:val="center"/>
        <w:tblLook w:val="01E0" w:firstRow="1" w:lastRow="1" w:firstColumn="1" w:lastColumn="1" w:noHBand="0" w:noVBand="0"/>
      </w:tblPr>
      <w:tblGrid>
        <w:gridCol w:w="3243"/>
        <w:gridCol w:w="757"/>
        <w:gridCol w:w="867"/>
        <w:gridCol w:w="832"/>
        <w:gridCol w:w="289"/>
        <w:gridCol w:w="816"/>
        <w:gridCol w:w="867"/>
        <w:gridCol w:w="832"/>
      </w:tblGrid>
      <w:tr w:rsidR="00181152" w:rsidRPr="00925091" w14:paraId="2670F78B" w14:textId="77777777" w:rsidTr="00CA2F22">
        <w:trPr>
          <w:cantSplit/>
          <w:trHeight w:val="288"/>
          <w:jc w:val="center"/>
        </w:trPr>
        <w:tc>
          <w:tcPr>
            <w:tcW w:w="0" w:type="auto"/>
            <w:gridSpan w:val="8"/>
            <w:tcBorders>
              <w:top w:val="single" w:sz="4" w:space="0" w:color="auto"/>
              <w:left w:val="single" w:sz="4" w:space="0" w:color="auto"/>
              <w:right w:val="single" w:sz="4" w:space="0" w:color="auto"/>
            </w:tcBorders>
            <w:shd w:val="clear" w:color="auto" w:fill="000000" w:themeFill="text1"/>
            <w:vAlign w:val="center"/>
          </w:tcPr>
          <w:p w14:paraId="6AD91E6C" w14:textId="77777777" w:rsidR="00181152" w:rsidRPr="00925091" w:rsidRDefault="00181152" w:rsidP="00CA2F22">
            <w:pPr>
              <w:pStyle w:val="Heading3"/>
              <w:rPr>
                <w:snapToGrid w:val="0"/>
              </w:rPr>
            </w:pPr>
            <w:bookmarkStart w:id="22" w:name="_Toc52987340"/>
            <w:r w:rsidRPr="00925091">
              <w:rPr>
                <w:snapToGrid w:val="0"/>
              </w:rPr>
              <w:t>Table SD.2R: Sample allocation</w:t>
            </w:r>
            <w:bookmarkEnd w:id="22"/>
          </w:p>
        </w:tc>
      </w:tr>
      <w:tr w:rsidR="00181152" w:rsidRPr="00925091" w14:paraId="50430770" w14:textId="77777777" w:rsidTr="00CA2F22">
        <w:trPr>
          <w:cantSplit/>
          <w:trHeight w:val="238"/>
          <w:jc w:val="center"/>
        </w:trPr>
        <w:tc>
          <w:tcPr>
            <w:tcW w:w="0" w:type="auto"/>
            <w:gridSpan w:val="8"/>
            <w:tcBorders>
              <w:top w:val="single" w:sz="4" w:space="0" w:color="auto"/>
              <w:left w:val="single" w:sz="4" w:space="0" w:color="auto"/>
              <w:right w:val="single" w:sz="4" w:space="0" w:color="auto"/>
            </w:tcBorders>
            <w:shd w:val="clear" w:color="auto" w:fill="auto"/>
            <w:vAlign w:val="center"/>
          </w:tcPr>
          <w:p w14:paraId="56D54EF6" w14:textId="77777777" w:rsidR="00181152" w:rsidRPr="00925091" w:rsidRDefault="00181152" w:rsidP="00CA2F22">
            <w:pPr>
              <w:spacing w:before="0" w:after="0" w:line="269" w:lineRule="auto"/>
              <w:contextualSpacing/>
              <w:rPr>
                <w:rFonts w:asciiTheme="majorHAnsi" w:hAnsiTheme="majorHAnsi" w:cstheme="majorHAnsi"/>
                <w:snapToGrid w:val="0"/>
                <w:color w:val="000000" w:themeColor="text1"/>
                <w:sz w:val="18"/>
                <w:szCs w:val="18"/>
                <w:lang w:val="en-GB"/>
              </w:rPr>
            </w:pPr>
            <w:r w:rsidRPr="00925091">
              <w:rPr>
                <w:rFonts w:asciiTheme="majorHAnsi" w:hAnsiTheme="majorHAnsi" w:cstheme="majorHAnsi"/>
                <w:snapToGrid w:val="0"/>
                <w:color w:val="000000" w:themeColor="text1"/>
                <w:sz w:val="18"/>
                <w:szCs w:val="18"/>
                <w:lang w:val="en-GB"/>
              </w:rPr>
              <w:t>Allocation of sample clusters (EAs) and sample households to sampling strata, 2019 Serbia Roma Settlements MICS</w:t>
            </w:r>
          </w:p>
        </w:tc>
      </w:tr>
      <w:tr w:rsidR="00181152" w:rsidRPr="00925091" w14:paraId="1165FB47" w14:textId="77777777" w:rsidTr="00CA2F22">
        <w:trPr>
          <w:cantSplit/>
          <w:trHeight w:val="238"/>
          <w:jc w:val="center"/>
        </w:trPr>
        <w:tc>
          <w:tcPr>
            <w:tcW w:w="0" w:type="auto"/>
            <w:tcBorders>
              <w:top w:val="single" w:sz="4" w:space="0" w:color="auto"/>
              <w:left w:val="single" w:sz="4" w:space="0" w:color="auto"/>
            </w:tcBorders>
            <w:vAlign w:val="bottom"/>
          </w:tcPr>
          <w:p w14:paraId="368125E2"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gridSpan w:val="3"/>
            <w:tcBorders>
              <w:top w:val="single" w:sz="4" w:space="0" w:color="auto"/>
              <w:bottom w:val="single" w:sz="4" w:space="0" w:color="auto"/>
            </w:tcBorders>
            <w:vAlign w:val="bottom"/>
          </w:tcPr>
          <w:p w14:paraId="139732E9" w14:textId="77777777" w:rsidR="00181152" w:rsidRPr="00925091" w:rsidRDefault="00181152" w:rsidP="00CA2F22">
            <w:pPr>
              <w:spacing w:before="0" w:after="0" w:line="269" w:lineRule="auto"/>
              <w:contextualSpacing/>
              <w:jc w:val="center"/>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Sample Clusters</w:t>
            </w:r>
          </w:p>
        </w:tc>
        <w:tc>
          <w:tcPr>
            <w:tcW w:w="0" w:type="auto"/>
            <w:tcBorders>
              <w:top w:val="single" w:sz="4" w:space="0" w:color="auto"/>
            </w:tcBorders>
            <w:vAlign w:val="bottom"/>
          </w:tcPr>
          <w:p w14:paraId="2A88C606"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gridSpan w:val="3"/>
            <w:tcBorders>
              <w:top w:val="single" w:sz="4" w:space="0" w:color="auto"/>
              <w:bottom w:val="single" w:sz="4" w:space="0" w:color="auto"/>
              <w:right w:val="single" w:sz="4" w:space="0" w:color="auto"/>
            </w:tcBorders>
            <w:vAlign w:val="bottom"/>
          </w:tcPr>
          <w:p w14:paraId="5C21A28E" w14:textId="77777777" w:rsidR="00181152" w:rsidRPr="00925091" w:rsidRDefault="00181152" w:rsidP="00CA2F22">
            <w:pPr>
              <w:spacing w:before="0" w:after="0" w:line="269" w:lineRule="auto"/>
              <w:contextualSpacing/>
              <w:jc w:val="center"/>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Sample Households</w:t>
            </w:r>
          </w:p>
        </w:tc>
      </w:tr>
      <w:tr w:rsidR="00181152" w:rsidRPr="00925091" w14:paraId="16EA37F3" w14:textId="77777777" w:rsidTr="00CA2F22">
        <w:trPr>
          <w:cantSplit/>
          <w:trHeight w:val="238"/>
          <w:jc w:val="center"/>
        </w:trPr>
        <w:tc>
          <w:tcPr>
            <w:tcW w:w="0" w:type="auto"/>
            <w:tcBorders>
              <w:left w:val="single" w:sz="4" w:space="0" w:color="auto"/>
              <w:bottom w:val="single" w:sz="4" w:space="0" w:color="auto"/>
            </w:tcBorders>
            <w:vAlign w:val="bottom"/>
          </w:tcPr>
          <w:p w14:paraId="10659688"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bottom w:val="single" w:sz="4" w:space="0" w:color="auto"/>
            </w:tcBorders>
            <w:vAlign w:val="bottom"/>
          </w:tcPr>
          <w:p w14:paraId="244C9AAD"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Total</w:t>
            </w:r>
          </w:p>
        </w:tc>
        <w:tc>
          <w:tcPr>
            <w:tcW w:w="0" w:type="auto"/>
            <w:tcBorders>
              <w:top w:val="single" w:sz="4" w:space="0" w:color="auto"/>
              <w:bottom w:val="single" w:sz="4" w:space="0" w:color="auto"/>
            </w:tcBorders>
            <w:vAlign w:val="bottom"/>
          </w:tcPr>
          <w:p w14:paraId="29D6AC53"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Urban</w:t>
            </w:r>
          </w:p>
        </w:tc>
        <w:tc>
          <w:tcPr>
            <w:tcW w:w="0" w:type="auto"/>
            <w:tcBorders>
              <w:top w:val="single" w:sz="4" w:space="0" w:color="auto"/>
              <w:bottom w:val="single" w:sz="4" w:space="0" w:color="auto"/>
            </w:tcBorders>
            <w:vAlign w:val="bottom"/>
          </w:tcPr>
          <w:p w14:paraId="2B9DBEF3"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Other</w:t>
            </w:r>
          </w:p>
        </w:tc>
        <w:tc>
          <w:tcPr>
            <w:tcW w:w="0" w:type="auto"/>
            <w:tcBorders>
              <w:bottom w:val="single" w:sz="4" w:space="0" w:color="auto"/>
            </w:tcBorders>
            <w:vAlign w:val="bottom"/>
          </w:tcPr>
          <w:p w14:paraId="5DB33F1A"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bottom w:val="single" w:sz="4" w:space="0" w:color="auto"/>
            </w:tcBorders>
            <w:vAlign w:val="bottom"/>
          </w:tcPr>
          <w:p w14:paraId="4088A595"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Total</w:t>
            </w:r>
          </w:p>
        </w:tc>
        <w:tc>
          <w:tcPr>
            <w:tcW w:w="0" w:type="auto"/>
            <w:tcBorders>
              <w:top w:val="single" w:sz="4" w:space="0" w:color="auto"/>
              <w:bottom w:val="single" w:sz="4" w:space="0" w:color="auto"/>
            </w:tcBorders>
            <w:vAlign w:val="bottom"/>
          </w:tcPr>
          <w:p w14:paraId="55451680"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Urban</w:t>
            </w:r>
          </w:p>
        </w:tc>
        <w:tc>
          <w:tcPr>
            <w:tcW w:w="0" w:type="auto"/>
            <w:tcBorders>
              <w:top w:val="single" w:sz="4" w:space="0" w:color="auto"/>
              <w:bottom w:val="single" w:sz="4" w:space="0" w:color="auto"/>
              <w:right w:val="single" w:sz="4" w:space="0" w:color="auto"/>
            </w:tcBorders>
            <w:vAlign w:val="bottom"/>
          </w:tcPr>
          <w:p w14:paraId="567D1061"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Other</w:t>
            </w:r>
          </w:p>
        </w:tc>
      </w:tr>
      <w:tr w:rsidR="00181152" w:rsidRPr="00925091" w14:paraId="7C7AF036" w14:textId="77777777" w:rsidTr="00CA2F22">
        <w:trPr>
          <w:cantSplit/>
          <w:trHeight w:val="238"/>
          <w:jc w:val="center"/>
        </w:trPr>
        <w:tc>
          <w:tcPr>
            <w:tcW w:w="0" w:type="auto"/>
            <w:tcBorders>
              <w:top w:val="single" w:sz="4" w:space="0" w:color="auto"/>
              <w:left w:val="single" w:sz="4" w:space="0" w:color="auto"/>
            </w:tcBorders>
            <w:vAlign w:val="center"/>
          </w:tcPr>
          <w:p w14:paraId="32712F88" w14:textId="77777777" w:rsidR="00181152" w:rsidRPr="00925091" w:rsidRDefault="00181152" w:rsidP="00CA2F22">
            <w:pPr>
              <w:spacing w:before="0" w:after="0" w:line="269" w:lineRule="auto"/>
              <w:contextualSpacing/>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3B394E78"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2084382C"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0B6BBD04"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3F3EEB70"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6BDB0F3C"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tcBorders>
            <w:vAlign w:val="center"/>
          </w:tcPr>
          <w:p w14:paraId="4DE4720C"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p>
        </w:tc>
        <w:tc>
          <w:tcPr>
            <w:tcW w:w="0" w:type="auto"/>
            <w:tcBorders>
              <w:top w:val="single" w:sz="4" w:space="0" w:color="auto"/>
              <w:right w:val="single" w:sz="4" w:space="0" w:color="auto"/>
            </w:tcBorders>
            <w:vAlign w:val="center"/>
          </w:tcPr>
          <w:p w14:paraId="4FF81CF0" w14:textId="77777777" w:rsidR="00181152" w:rsidRPr="00925091" w:rsidRDefault="00181152" w:rsidP="00CA2F22">
            <w:pPr>
              <w:spacing w:before="0" w:after="0" w:line="269" w:lineRule="auto"/>
              <w:contextualSpacing/>
              <w:jc w:val="center"/>
              <w:rPr>
                <w:rFonts w:asciiTheme="majorHAnsi" w:hAnsiTheme="majorHAnsi" w:cstheme="majorHAnsi"/>
                <w:snapToGrid w:val="0"/>
                <w:sz w:val="18"/>
                <w:szCs w:val="18"/>
                <w:lang w:val="en-GB" w:eastAsia="en-GB"/>
              </w:rPr>
            </w:pPr>
          </w:p>
        </w:tc>
      </w:tr>
      <w:tr w:rsidR="00181152" w:rsidRPr="00925091" w14:paraId="073320BA" w14:textId="77777777" w:rsidTr="00CA2F22">
        <w:trPr>
          <w:cantSplit/>
          <w:trHeight w:val="238"/>
          <w:jc w:val="center"/>
        </w:trPr>
        <w:tc>
          <w:tcPr>
            <w:tcW w:w="0" w:type="auto"/>
            <w:tcBorders>
              <w:left w:val="single" w:sz="4" w:space="0" w:color="auto"/>
            </w:tcBorders>
            <w:vAlign w:val="center"/>
          </w:tcPr>
          <w:p w14:paraId="135E3D55" w14:textId="77777777" w:rsidR="00181152" w:rsidRPr="00925091" w:rsidRDefault="00181152" w:rsidP="00CA2F22">
            <w:pPr>
              <w:spacing w:before="0" w:after="0" w:line="269" w:lineRule="auto"/>
              <w:contextualSpacing/>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Total</w:t>
            </w:r>
          </w:p>
        </w:tc>
        <w:tc>
          <w:tcPr>
            <w:tcW w:w="0" w:type="auto"/>
            <w:vAlign w:val="center"/>
          </w:tcPr>
          <w:p w14:paraId="2163A725" w14:textId="77777777" w:rsidR="00181152" w:rsidRPr="00925091" w:rsidRDefault="00181152" w:rsidP="00CA2F22">
            <w:pPr>
              <w:spacing w:before="0" w:after="0" w:line="269" w:lineRule="auto"/>
              <w:contextualSpacing/>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100</w:t>
            </w:r>
          </w:p>
        </w:tc>
        <w:tc>
          <w:tcPr>
            <w:tcW w:w="0" w:type="auto"/>
            <w:vAlign w:val="center"/>
          </w:tcPr>
          <w:p w14:paraId="070FF1F0" w14:textId="77777777" w:rsidR="00181152" w:rsidRPr="00925091" w:rsidRDefault="00181152" w:rsidP="00CA2F22">
            <w:pPr>
              <w:spacing w:before="0" w:after="0" w:line="269" w:lineRule="auto"/>
              <w:contextualSpacing/>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68</w:t>
            </w:r>
          </w:p>
        </w:tc>
        <w:tc>
          <w:tcPr>
            <w:tcW w:w="0" w:type="auto"/>
            <w:vAlign w:val="center"/>
          </w:tcPr>
          <w:p w14:paraId="09C14035" w14:textId="77777777" w:rsidR="00181152" w:rsidRPr="00925091" w:rsidRDefault="00181152" w:rsidP="00CA2F22">
            <w:pPr>
              <w:spacing w:before="0" w:after="0" w:line="269" w:lineRule="auto"/>
              <w:contextualSpacing/>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32</w:t>
            </w:r>
          </w:p>
        </w:tc>
        <w:tc>
          <w:tcPr>
            <w:tcW w:w="0" w:type="auto"/>
            <w:vAlign w:val="center"/>
          </w:tcPr>
          <w:p w14:paraId="55C8F7AF" w14:textId="77777777" w:rsidR="00181152" w:rsidRPr="00925091" w:rsidRDefault="00181152" w:rsidP="00CA2F22">
            <w:pPr>
              <w:spacing w:before="0" w:after="0" w:line="269" w:lineRule="auto"/>
              <w:contextualSpacing/>
              <w:jc w:val="right"/>
              <w:rPr>
                <w:rFonts w:asciiTheme="majorHAnsi" w:hAnsiTheme="majorHAnsi" w:cstheme="majorHAnsi"/>
                <w:b/>
                <w:sz w:val="18"/>
                <w:szCs w:val="18"/>
                <w:lang w:val="en-GB" w:eastAsia="en-GB"/>
              </w:rPr>
            </w:pPr>
          </w:p>
        </w:tc>
        <w:tc>
          <w:tcPr>
            <w:tcW w:w="0" w:type="auto"/>
            <w:vAlign w:val="center"/>
          </w:tcPr>
          <w:p w14:paraId="19D2EAE3" w14:textId="77777777" w:rsidR="00181152" w:rsidRPr="00925091" w:rsidRDefault="00181152" w:rsidP="00CA2F22">
            <w:pPr>
              <w:spacing w:before="0" w:after="0" w:line="269" w:lineRule="auto"/>
              <w:contextualSpacing/>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2,000</w:t>
            </w:r>
          </w:p>
        </w:tc>
        <w:tc>
          <w:tcPr>
            <w:tcW w:w="0" w:type="auto"/>
            <w:vAlign w:val="center"/>
          </w:tcPr>
          <w:p w14:paraId="4B89D909" w14:textId="77777777" w:rsidR="00181152" w:rsidRPr="00925091" w:rsidRDefault="00181152" w:rsidP="00CA2F22">
            <w:pPr>
              <w:spacing w:before="0" w:after="0" w:line="269" w:lineRule="auto"/>
              <w:contextualSpacing/>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1,360</w:t>
            </w:r>
          </w:p>
        </w:tc>
        <w:tc>
          <w:tcPr>
            <w:tcW w:w="0" w:type="auto"/>
            <w:tcBorders>
              <w:right w:val="single" w:sz="4" w:space="0" w:color="auto"/>
            </w:tcBorders>
            <w:vAlign w:val="center"/>
          </w:tcPr>
          <w:p w14:paraId="02580E8E" w14:textId="77777777" w:rsidR="00181152" w:rsidRPr="00925091" w:rsidRDefault="00181152" w:rsidP="00CA2F22">
            <w:pPr>
              <w:spacing w:before="0" w:after="0" w:line="269" w:lineRule="auto"/>
              <w:contextualSpacing/>
              <w:jc w:val="right"/>
              <w:rPr>
                <w:rFonts w:asciiTheme="majorHAnsi" w:hAnsiTheme="majorHAnsi" w:cstheme="majorHAnsi"/>
                <w:b/>
                <w:sz w:val="18"/>
                <w:szCs w:val="18"/>
                <w:lang w:val="en-GB" w:eastAsia="en-GB"/>
              </w:rPr>
            </w:pPr>
            <w:r w:rsidRPr="00925091">
              <w:rPr>
                <w:rFonts w:asciiTheme="majorHAnsi" w:hAnsiTheme="majorHAnsi" w:cstheme="majorHAnsi"/>
                <w:b/>
                <w:sz w:val="18"/>
                <w:szCs w:val="18"/>
                <w:lang w:val="en-GB"/>
              </w:rPr>
              <w:t>640</w:t>
            </w:r>
          </w:p>
        </w:tc>
      </w:tr>
      <w:tr w:rsidR="00181152" w:rsidRPr="00925091" w14:paraId="7E93BA91" w14:textId="77777777" w:rsidTr="00CA2F22">
        <w:trPr>
          <w:cantSplit/>
          <w:trHeight w:val="238"/>
          <w:jc w:val="center"/>
        </w:trPr>
        <w:tc>
          <w:tcPr>
            <w:tcW w:w="0" w:type="auto"/>
            <w:tcBorders>
              <w:left w:val="single" w:sz="4" w:space="0" w:color="auto"/>
            </w:tcBorders>
            <w:vAlign w:val="center"/>
          </w:tcPr>
          <w:p w14:paraId="4F7B2975" w14:textId="77777777" w:rsidR="00181152" w:rsidRPr="00925091" w:rsidRDefault="00181152" w:rsidP="00CA2F22">
            <w:pPr>
              <w:spacing w:before="0" w:after="0" w:line="269" w:lineRule="auto"/>
              <w:contextualSpacing/>
              <w:rPr>
                <w:rFonts w:asciiTheme="majorHAnsi" w:hAnsiTheme="majorHAnsi" w:cstheme="majorHAnsi"/>
                <w:snapToGrid w:val="0"/>
                <w:sz w:val="18"/>
                <w:szCs w:val="18"/>
                <w:lang w:val="en-GB" w:eastAsia="en-GB"/>
              </w:rPr>
            </w:pPr>
          </w:p>
        </w:tc>
        <w:tc>
          <w:tcPr>
            <w:tcW w:w="0" w:type="auto"/>
            <w:vAlign w:val="center"/>
          </w:tcPr>
          <w:p w14:paraId="42F24C94" w14:textId="77777777" w:rsidR="00181152" w:rsidRPr="00925091" w:rsidRDefault="00181152" w:rsidP="00CA2F22">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6470A793" w14:textId="77777777" w:rsidR="00181152" w:rsidRPr="00925091" w:rsidRDefault="00181152" w:rsidP="00CA2F22">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50D99C20" w14:textId="77777777" w:rsidR="00181152" w:rsidRPr="00925091" w:rsidRDefault="00181152" w:rsidP="00CA2F22">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47475CC7" w14:textId="77777777" w:rsidR="00181152" w:rsidRPr="00925091" w:rsidRDefault="00181152" w:rsidP="00CA2F22">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17BF2060" w14:textId="77777777" w:rsidR="00181152" w:rsidRPr="00925091" w:rsidRDefault="00181152" w:rsidP="00CA2F22">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1A49D3CD" w14:textId="77777777" w:rsidR="00181152" w:rsidRPr="00925091" w:rsidRDefault="00181152" w:rsidP="00CA2F22">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tcBorders>
              <w:right w:val="single" w:sz="4" w:space="0" w:color="auto"/>
            </w:tcBorders>
            <w:vAlign w:val="center"/>
          </w:tcPr>
          <w:p w14:paraId="1D4F198B" w14:textId="77777777" w:rsidR="00181152" w:rsidRPr="00925091" w:rsidRDefault="00181152" w:rsidP="00CA2F22">
            <w:pPr>
              <w:spacing w:before="0" w:after="0" w:line="269" w:lineRule="auto"/>
              <w:contextualSpacing/>
              <w:jc w:val="right"/>
              <w:rPr>
                <w:rFonts w:asciiTheme="majorHAnsi" w:hAnsiTheme="majorHAnsi" w:cstheme="majorHAnsi"/>
                <w:snapToGrid w:val="0"/>
                <w:sz w:val="18"/>
                <w:szCs w:val="18"/>
                <w:lang w:val="en-GB" w:eastAsia="en-GB"/>
              </w:rPr>
            </w:pPr>
          </w:p>
        </w:tc>
      </w:tr>
      <w:tr w:rsidR="00181152" w:rsidRPr="00925091" w14:paraId="31A59F60" w14:textId="77777777" w:rsidTr="00CA2F22">
        <w:trPr>
          <w:cantSplit/>
          <w:trHeight w:val="238"/>
          <w:jc w:val="center"/>
        </w:trPr>
        <w:tc>
          <w:tcPr>
            <w:tcW w:w="0" w:type="auto"/>
            <w:tcBorders>
              <w:left w:val="single" w:sz="4" w:space="0" w:color="auto"/>
            </w:tcBorders>
            <w:vAlign w:val="center"/>
          </w:tcPr>
          <w:p w14:paraId="04693B0D" w14:textId="77777777" w:rsidR="00181152" w:rsidRPr="00925091" w:rsidRDefault="00181152" w:rsidP="00CA2F22">
            <w:pPr>
              <w:spacing w:before="0" w:after="0" w:line="269" w:lineRule="auto"/>
              <w:contextualSpacing/>
              <w:rPr>
                <w:rFonts w:asciiTheme="majorHAnsi" w:hAnsiTheme="majorHAnsi" w:cstheme="majorHAnsi"/>
                <w:b/>
                <w:snapToGrid w:val="0"/>
                <w:sz w:val="18"/>
                <w:szCs w:val="18"/>
                <w:lang w:val="en-GB" w:eastAsia="en-GB"/>
              </w:rPr>
            </w:pPr>
            <w:r w:rsidRPr="00925091">
              <w:rPr>
                <w:rFonts w:asciiTheme="majorHAnsi" w:hAnsiTheme="majorHAnsi" w:cstheme="majorHAnsi"/>
                <w:b/>
                <w:snapToGrid w:val="0"/>
                <w:sz w:val="18"/>
                <w:szCs w:val="18"/>
                <w:lang w:val="en-GB" w:eastAsia="en-GB"/>
              </w:rPr>
              <w:t>Region</w:t>
            </w:r>
          </w:p>
        </w:tc>
        <w:tc>
          <w:tcPr>
            <w:tcW w:w="0" w:type="auto"/>
            <w:vAlign w:val="center"/>
          </w:tcPr>
          <w:p w14:paraId="540B0444" w14:textId="77777777" w:rsidR="00181152" w:rsidRPr="00925091" w:rsidRDefault="00181152" w:rsidP="00CA2F22">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45AF746D" w14:textId="77777777" w:rsidR="00181152" w:rsidRPr="00925091" w:rsidRDefault="00181152" w:rsidP="00CA2F22">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77125DA0" w14:textId="77777777" w:rsidR="00181152" w:rsidRPr="00925091" w:rsidRDefault="00181152" w:rsidP="00CA2F22">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169EAFC6" w14:textId="77777777" w:rsidR="00181152" w:rsidRPr="00925091" w:rsidRDefault="00181152" w:rsidP="00CA2F22">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60CA0117" w14:textId="77777777" w:rsidR="00181152" w:rsidRPr="00925091" w:rsidRDefault="00181152" w:rsidP="00CA2F22">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vAlign w:val="center"/>
          </w:tcPr>
          <w:p w14:paraId="4098B81B" w14:textId="77777777" w:rsidR="00181152" w:rsidRPr="00925091" w:rsidRDefault="00181152" w:rsidP="00CA2F22">
            <w:pPr>
              <w:spacing w:before="0" w:after="0" w:line="269" w:lineRule="auto"/>
              <w:contextualSpacing/>
              <w:jc w:val="right"/>
              <w:rPr>
                <w:rFonts w:asciiTheme="majorHAnsi" w:hAnsiTheme="majorHAnsi" w:cstheme="majorHAnsi"/>
                <w:snapToGrid w:val="0"/>
                <w:sz w:val="18"/>
                <w:szCs w:val="18"/>
                <w:lang w:val="en-GB" w:eastAsia="en-GB"/>
              </w:rPr>
            </w:pPr>
          </w:p>
        </w:tc>
        <w:tc>
          <w:tcPr>
            <w:tcW w:w="0" w:type="auto"/>
            <w:tcBorders>
              <w:right w:val="single" w:sz="4" w:space="0" w:color="auto"/>
            </w:tcBorders>
            <w:vAlign w:val="center"/>
          </w:tcPr>
          <w:p w14:paraId="3DDBBB1A" w14:textId="77777777" w:rsidR="00181152" w:rsidRPr="00925091" w:rsidRDefault="00181152" w:rsidP="00CA2F22">
            <w:pPr>
              <w:spacing w:before="0" w:after="0" w:line="269" w:lineRule="auto"/>
              <w:contextualSpacing/>
              <w:jc w:val="right"/>
              <w:rPr>
                <w:rFonts w:asciiTheme="majorHAnsi" w:hAnsiTheme="majorHAnsi" w:cstheme="majorHAnsi"/>
                <w:snapToGrid w:val="0"/>
                <w:sz w:val="18"/>
                <w:szCs w:val="18"/>
                <w:lang w:val="en-GB" w:eastAsia="en-GB"/>
              </w:rPr>
            </w:pPr>
          </w:p>
        </w:tc>
      </w:tr>
      <w:tr w:rsidR="00181152" w:rsidRPr="00925091" w14:paraId="63D323EA" w14:textId="77777777" w:rsidTr="00CA2F22">
        <w:trPr>
          <w:cantSplit/>
          <w:trHeight w:val="238"/>
          <w:jc w:val="center"/>
        </w:trPr>
        <w:tc>
          <w:tcPr>
            <w:tcW w:w="0" w:type="auto"/>
            <w:tcBorders>
              <w:left w:val="single" w:sz="4" w:space="0" w:color="auto"/>
            </w:tcBorders>
            <w:vAlign w:val="center"/>
          </w:tcPr>
          <w:p w14:paraId="39DFF1EE" w14:textId="77777777" w:rsidR="00181152" w:rsidRPr="00925091" w:rsidRDefault="00181152" w:rsidP="00CA2F22">
            <w:pPr>
              <w:spacing w:before="0" w:after="0" w:line="269" w:lineRule="auto"/>
              <w:ind w:left="144"/>
              <w:contextualSpacing/>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Belgrade</w:t>
            </w:r>
          </w:p>
        </w:tc>
        <w:tc>
          <w:tcPr>
            <w:tcW w:w="0" w:type="auto"/>
            <w:vAlign w:val="center"/>
          </w:tcPr>
          <w:p w14:paraId="5F50F8F2"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20</w:t>
            </w:r>
          </w:p>
        </w:tc>
        <w:tc>
          <w:tcPr>
            <w:tcW w:w="0" w:type="auto"/>
            <w:vAlign w:val="center"/>
          </w:tcPr>
          <w:p w14:paraId="406B52AD"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16</w:t>
            </w:r>
          </w:p>
        </w:tc>
        <w:tc>
          <w:tcPr>
            <w:tcW w:w="0" w:type="auto"/>
            <w:vAlign w:val="center"/>
          </w:tcPr>
          <w:p w14:paraId="704F8CDD"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4</w:t>
            </w:r>
          </w:p>
        </w:tc>
        <w:tc>
          <w:tcPr>
            <w:tcW w:w="0" w:type="auto"/>
            <w:vAlign w:val="center"/>
          </w:tcPr>
          <w:p w14:paraId="36DBE835"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p>
        </w:tc>
        <w:tc>
          <w:tcPr>
            <w:tcW w:w="0" w:type="auto"/>
            <w:vAlign w:val="center"/>
          </w:tcPr>
          <w:p w14:paraId="2D67FEB7"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400</w:t>
            </w:r>
          </w:p>
        </w:tc>
        <w:tc>
          <w:tcPr>
            <w:tcW w:w="0" w:type="auto"/>
            <w:vAlign w:val="center"/>
          </w:tcPr>
          <w:p w14:paraId="09A37492"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320</w:t>
            </w:r>
          </w:p>
        </w:tc>
        <w:tc>
          <w:tcPr>
            <w:tcW w:w="0" w:type="auto"/>
            <w:tcBorders>
              <w:right w:val="single" w:sz="4" w:space="0" w:color="auto"/>
            </w:tcBorders>
            <w:vAlign w:val="center"/>
          </w:tcPr>
          <w:p w14:paraId="5EBBC075"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80</w:t>
            </w:r>
          </w:p>
        </w:tc>
      </w:tr>
      <w:tr w:rsidR="00181152" w:rsidRPr="00925091" w14:paraId="5C7419C6" w14:textId="77777777" w:rsidTr="00CA2F22">
        <w:trPr>
          <w:cantSplit/>
          <w:trHeight w:val="238"/>
          <w:jc w:val="center"/>
        </w:trPr>
        <w:tc>
          <w:tcPr>
            <w:tcW w:w="0" w:type="auto"/>
            <w:tcBorders>
              <w:left w:val="single" w:sz="4" w:space="0" w:color="auto"/>
            </w:tcBorders>
            <w:vAlign w:val="center"/>
          </w:tcPr>
          <w:p w14:paraId="3615B8ED" w14:textId="77777777" w:rsidR="00181152" w:rsidRPr="00925091" w:rsidRDefault="00181152" w:rsidP="00CA2F22">
            <w:pPr>
              <w:spacing w:before="0" w:after="0" w:line="269" w:lineRule="auto"/>
              <w:ind w:left="144"/>
              <w:contextualSpacing/>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Vojvodina</w:t>
            </w:r>
          </w:p>
        </w:tc>
        <w:tc>
          <w:tcPr>
            <w:tcW w:w="0" w:type="auto"/>
            <w:vAlign w:val="center"/>
          </w:tcPr>
          <w:p w14:paraId="7A642BAB"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16</w:t>
            </w:r>
          </w:p>
        </w:tc>
        <w:tc>
          <w:tcPr>
            <w:tcW w:w="0" w:type="auto"/>
            <w:vAlign w:val="center"/>
          </w:tcPr>
          <w:p w14:paraId="6FEC3B93"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8</w:t>
            </w:r>
          </w:p>
        </w:tc>
        <w:tc>
          <w:tcPr>
            <w:tcW w:w="0" w:type="auto"/>
            <w:vAlign w:val="center"/>
          </w:tcPr>
          <w:p w14:paraId="54B66B5D"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8</w:t>
            </w:r>
          </w:p>
        </w:tc>
        <w:tc>
          <w:tcPr>
            <w:tcW w:w="0" w:type="auto"/>
            <w:vAlign w:val="center"/>
          </w:tcPr>
          <w:p w14:paraId="7541BD74"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p>
        </w:tc>
        <w:tc>
          <w:tcPr>
            <w:tcW w:w="0" w:type="auto"/>
            <w:vAlign w:val="center"/>
          </w:tcPr>
          <w:p w14:paraId="760DEFD7"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320</w:t>
            </w:r>
          </w:p>
        </w:tc>
        <w:tc>
          <w:tcPr>
            <w:tcW w:w="0" w:type="auto"/>
            <w:vAlign w:val="center"/>
          </w:tcPr>
          <w:p w14:paraId="0FB7101B"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160</w:t>
            </w:r>
          </w:p>
        </w:tc>
        <w:tc>
          <w:tcPr>
            <w:tcW w:w="0" w:type="auto"/>
            <w:tcBorders>
              <w:right w:val="single" w:sz="4" w:space="0" w:color="auto"/>
            </w:tcBorders>
            <w:vAlign w:val="center"/>
          </w:tcPr>
          <w:p w14:paraId="7CF19F2A"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160</w:t>
            </w:r>
          </w:p>
        </w:tc>
      </w:tr>
      <w:tr w:rsidR="00181152" w:rsidRPr="00925091" w14:paraId="467A5BFC" w14:textId="77777777" w:rsidTr="00CA2F22">
        <w:trPr>
          <w:cantSplit/>
          <w:trHeight w:val="238"/>
          <w:jc w:val="center"/>
        </w:trPr>
        <w:tc>
          <w:tcPr>
            <w:tcW w:w="0" w:type="auto"/>
            <w:tcBorders>
              <w:left w:val="single" w:sz="4" w:space="0" w:color="auto"/>
            </w:tcBorders>
            <w:vAlign w:val="center"/>
          </w:tcPr>
          <w:p w14:paraId="6D0DA329" w14:textId="77777777" w:rsidR="00181152" w:rsidRPr="00925091" w:rsidRDefault="00181152" w:rsidP="00CA2F22">
            <w:pPr>
              <w:spacing w:before="0" w:after="0" w:line="269" w:lineRule="auto"/>
              <w:ind w:left="144"/>
              <w:contextualSpacing/>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Sumadija and Western Serbia</w:t>
            </w:r>
          </w:p>
        </w:tc>
        <w:tc>
          <w:tcPr>
            <w:tcW w:w="0" w:type="auto"/>
            <w:vAlign w:val="center"/>
          </w:tcPr>
          <w:p w14:paraId="3F393AC1"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14</w:t>
            </w:r>
          </w:p>
        </w:tc>
        <w:tc>
          <w:tcPr>
            <w:tcW w:w="0" w:type="auto"/>
            <w:vAlign w:val="center"/>
          </w:tcPr>
          <w:p w14:paraId="118FD675"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6</w:t>
            </w:r>
          </w:p>
        </w:tc>
        <w:tc>
          <w:tcPr>
            <w:tcW w:w="0" w:type="auto"/>
            <w:vAlign w:val="center"/>
          </w:tcPr>
          <w:p w14:paraId="5622FFE6"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8</w:t>
            </w:r>
          </w:p>
        </w:tc>
        <w:tc>
          <w:tcPr>
            <w:tcW w:w="0" w:type="auto"/>
            <w:vAlign w:val="center"/>
          </w:tcPr>
          <w:p w14:paraId="17BFF9A4"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p>
        </w:tc>
        <w:tc>
          <w:tcPr>
            <w:tcW w:w="0" w:type="auto"/>
            <w:vAlign w:val="center"/>
          </w:tcPr>
          <w:p w14:paraId="3AD8CF50"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280</w:t>
            </w:r>
          </w:p>
        </w:tc>
        <w:tc>
          <w:tcPr>
            <w:tcW w:w="0" w:type="auto"/>
            <w:vAlign w:val="center"/>
          </w:tcPr>
          <w:p w14:paraId="2A95F586"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120</w:t>
            </w:r>
          </w:p>
        </w:tc>
        <w:tc>
          <w:tcPr>
            <w:tcW w:w="0" w:type="auto"/>
            <w:tcBorders>
              <w:right w:val="single" w:sz="4" w:space="0" w:color="auto"/>
            </w:tcBorders>
            <w:vAlign w:val="center"/>
          </w:tcPr>
          <w:p w14:paraId="55F8D7C4"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160</w:t>
            </w:r>
          </w:p>
        </w:tc>
      </w:tr>
      <w:tr w:rsidR="00181152" w:rsidRPr="00925091" w14:paraId="311C67D0" w14:textId="77777777" w:rsidTr="00CA2F22">
        <w:trPr>
          <w:cantSplit/>
          <w:trHeight w:val="238"/>
          <w:jc w:val="center"/>
        </w:trPr>
        <w:tc>
          <w:tcPr>
            <w:tcW w:w="0" w:type="auto"/>
            <w:tcBorders>
              <w:left w:val="single" w:sz="4" w:space="0" w:color="auto"/>
              <w:bottom w:val="single" w:sz="4" w:space="0" w:color="auto"/>
            </w:tcBorders>
            <w:vAlign w:val="center"/>
          </w:tcPr>
          <w:p w14:paraId="5F27ADF5" w14:textId="77777777" w:rsidR="00181152" w:rsidRPr="00925091" w:rsidRDefault="00181152" w:rsidP="00CA2F22">
            <w:pPr>
              <w:spacing w:before="0" w:after="0" w:line="269" w:lineRule="auto"/>
              <w:ind w:left="144"/>
              <w:contextualSpacing/>
              <w:rPr>
                <w:rFonts w:asciiTheme="majorHAnsi" w:hAnsiTheme="majorHAnsi" w:cstheme="majorHAnsi"/>
                <w:snapToGrid w:val="0"/>
                <w:sz w:val="18"/>
                <w:szCs w:val="18"/>
                <w:lang w:val="en-GB" w:eastAsia="en-GB"/>
              </w:rPr>
            </w:pPr>
            <w:r w:rsidRPr="00925091">
              <w:rPr>
                <w:rFonts w:asciiTheme="majorHAnsi" w:hAnsiTheme="majorHAnsi" w:cstheme="majorHAnsi"/>
                <w:snapToGrid w:val="0"/>
                <w:sz w:val="18"/>
                <w:szCs w:val="18"/>
                <w:lang w:val="en-GB" w:eastAsia="en-GB"/>
              </w:rPr>
              <w:t>Southern and Eastern Serbia</w:t>
            </w:r>
          </w:p>
        </w:tc>
        <w:tc>
          <w:tcPr>
            <w:tcW w:w="0" w:type="auto"/>
            <w:tcBorders>
              <w:bottom w:val="single" w:sz="4" w:space="0" w:color="auto"/>
            </w:tcBorders>
            <w:vAlign w:val="center"/>
          </w:tcPr>
          <w:p w14:paraId="104980ED"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50</w:t>
            </w:r>
          </w:p>
        </w:tc>
        <w:tc>
          <w:tcPr>
            <w:tcW w:w="0" w:type="auto"/>
            <w:tcBorders>
              <w:bottom w:val="single" w:sz="4" w:space="0" w:color="auto"/>
            </w:tcBorders>
            <w:vAlign w:val="center"/>
          </w:tcPr>
          <w:p w14:paraId="6EE3AD4E"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38</w:t>
            </w:r>
          </w:p>
        </w:tc>
        <w:tc>
          <w:tcPr>
            <w:tcW w:w="0" w:type="auto"/>
            <w:tcBorders>
              <w:bottom w:val="single" w:sz="4" w:space="0" w:color="auto"/>
            </w:tcBorders>
            <w:vAlign w:val="center"/>
          </w:tcPr>
          <w:p w14:paraId="2F7C85CB"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12</w:t>
            </w:r>
          </w:p>
        </w:tc>
        <w:tc>
          <w:tcPr>
            <w:tcW w:w="0" w:type="auto"/>
            <w:tcBorders>
              <w:bottom w:val="single" w:sz="4" w:space="0" w:color="auto"/>
            </w:tcBorders>
            <w:vAlign w:val="center"/>
          </w:tcPr>
          <w:p w14:paraId="57258B58"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p>
        </w:tc>
        <w:tc>
          <w:tcPr>
            <w:tcW w:w="0" w:type="auto"/>
            <w:tcBorders>
              <w:bottom w:val="single" w:sz="4" w:space="0" w:color="auto"/>
            </w:tcBorders>
            <w:vAlign w:val="center"/>
          </w:tcPr>
          <w:p w14:paraId="565F9D90"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1,000</w:t>
            </w:r>
          </w:p>
        </w:tc>
        <w:tc>
          <w:tcPr>
            <w:tcW w:w="0" w:type="auto"/>
            <w:tcBorders>
              <w:bottom w:val="single" w:sz="4" w:space="0" w:color="auto"/>
            </w:tcBorders>
            <w:vAlign w:val="center"/>
          </w:tcPr>
          <w:p w14:paraId="2D2C7B0D"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760</w:t>
            </w:r>
          </w:p>
        </w:tc>
        <w:tc>
          <w:tcPr>
            <w:tcW w:w="0" w:type="auto"/>
            <w:tcBorders>
              <w:bottom w:val="single" w:sz="4" w:space="0" w:color="auto"/>
              <w:right w:val="single" w:sz="4" w:space="0" w:color="auto"/>
            </w:tcBorders>
            <w:vAlign w:val="center"/>
          </w:tcPr>
          <w:p w14:paraId="1E795E1E" w14:textId="77777777" w:rsidR="00181152" w:rsidRPr="00925091" w:rsidRDefault="00181152" w:rsidP="00CA2F22">
            <w:pPr>
              <w:spacing w:before="0" w:after="0" w:line="269" w:lineRule="auto"/>
              <w:contextualSpacing/>
              <w:jc w:val="right"/>
              <w:rPr>
                <w:rFonts w:asciiTheme="majorHAnsi" w:hAnsiTheme="majorHAnsi" w:cstheme="majorHAnsi"/>
                <w:sz w:val="18"/>
                <w:szCs w:val="18"/>
                <w:lang w:val="en-GB" w:eastAsia="en-GB"/>
              </w:rPr>
            </w:pPr>
            <w:r w:rsidRPr="00925091">
              <w:rPr>
                <w:rFonts w:asciiTheme="majorHAnsi" w:hAnsiTheme="majorHAnsi" w:cstheme="majorHAnsi"/>
                <w:sz w:val="18"/>
                <w:szCs w:val="18"/>
                <w:lang w:val="en-GB"/>
              </w:rPr>
              <w:t>240</w:t>
            </w:r>
          </w:p>
        </w:tc>
      </w:tr>
    </w:tbl>
    <w:p w14:paraId="4C969C24" w14:textId="77777777" w:rsidR="009B2FB0" w:rsidRPr="00925091" w:rsidRDefault="009B2FB0" w:rsidP="00F00395">
      <w:pPr>
        <w:pStyle w:val="Heading2"/>
        <w:numPr>
          <w:ilvl w:val="0"/>
          <w:numId w:val="54"/>
        </w:numPr>
        <w:spacing w:before="0" w:line="269" w:lineRule="auto"/>
        <w:rPr>
          <w:rStyle w:val="2H"/>
          <w:rFonts w:asciiTheme="majorHAnsi" w:hAnsiTheme="majorHAnsi" w:cstheme="majorHAnsi"/>
          <w:b w:val="0"/>
          <w:bCs/>
          <w:sz w:val="20"/>
          <w:szCs w:val="18"/>
          <w:lang w:val="en-GB"/>
        </w:rPr>
      </w:pPr>
      <w:bookmarkStart w:id="23" w:name="_Toc52987341"/>
      <w:r w:rsidRPr="00925091">
        <w:rPr>
          <w:rStyle w:val="2H"/>
          <w:rFonts w:asciiTheme="majorHAnsi" w:hAnsiTheme="majorHAnsi" w:cstheme="majorHAnsi"/>
          <w:b w:val="0"/>
          <w:bCs/>
          <w:sz w:val="20"/>
          <w:szCs w:val="18"/>
          <w:lang w:val="en-GB"/>
        </w:rPr>
        <w:lastRenderedPageBreak/>
        <w:t>Selection</w:t>
      </w:r>
      <w:r w:rsidRPr="00925091">
        <w:rPr>
          <w:rStyle w:val="2H"/>
          <w:rFonts w:asciiTheme="majorHAnsi" w:hAnsiTheme="majorHAnsi" w:cstheme="majorHAnsi"/>
          <w:b w:val="0"/>
          <w:bCs/>
          <w:caps w:val="0"/>
          <w:sz w:val="20"/>
          <w:szCs w:val="18"/>
          <w:lang w:val="en-GB"/>
        </w:rPr>
        <w:t xml:space="preserve"> </w:t>
      </w:r>
      <w:r w:rsidRPr="00925091">
        <w:rPr>
          <w:rStyle w:val="2H"/>
          <w:rFonts w:asciiTheme="majorHAnsi" w:hAnsiTheme="majorHAnsi" w:cstheme="majorHAnsi"/>
          <w:b w:val="0"/>
          <w:bCs/>
          <w:sz w:val="20"/>
          <w:szCs w:val="18"/>
          <w:lang w:val="en-GB"/>
        </w:rPr>
        <w:t>of enumeration areas (clusters)</w:t>
      </w:r>
      <w:bookmarkEnd w:id="23"/>
    </w:p>
    <w:p w14:paraId="2E173D47" w14:textId="50016491" w:rsidR="009B2FB0" w:rsidRPr="00925091" w:rsidRDefault="009B2FB0"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 xml:space="preserve">Census enumeration areas </w:t>
      </w:r>
      <w:r w:rsidR="00441F95">
        <w:rPr>
          <w:rFonts w:asciiTheme="majorHAnsi" w:hAnsiTheme="majorHAnsi" w:cstheme="majorHAnsi"/>
          <w:snapToGrid w:val="0"/>
          <w:szCs w:val="22"/>
          <w:lang w:val="en-GB"/>
        </w:rPr>
        <w:t xml:space="preserve">(EAs) </w:t>
      </w:r>
      <w:r w:rsidRPr="00925091">
        <w:rPr>
          <w:rFonts w:asciiTheme="majorHAnsi" w:hAnsiTheme="majorHAnsi" w:cstheme="majorHAnsi"/>
          <w:snapToGrid w:val="0"/>
          <w:szCs w:val="22"/>
          <w:lang w:val="en-GB"/>
        </w:rPr>
        <w:t xml:space="preserve">were selected from each of the sampling strata by using systematic probability proportional to size (pps) sampling procedures, based on the number of Roma households in each </w:t>
      </w:r>
      <w:r w:rsidR="00441F95">
        <w:rPr>
          <w:rFonts w:asciiTheme="majorHAnsi" w:hAnsiTheme="majorHAnsi" w:cstheme="majorHAnsi"/>
          <w:snapToGrid w:val="0"/>
          <w:szCs w:val="22"/>
          <w:lang w:val="en-GB"/>
        </w:rPr>
        <w:t xml:space="preserve">EA </w:t>
      </w:r>
      <w:r w:rsidRPr="00925091">
        <w:rPr>
          <w:rFonts w:asciiTheme="majorHAnsi" w:hAnsiTheme="majorHAnsi" w:cstheme="majorHAnsi"/>
          <w:snapToGrid w:val="0"/>
          <w:szCs w:val="22"/>
          <w:lang w:val="en-GB"/>
        </w:rPr>
        <w:t>from the 2011 Census frame. The first stage of sampling was thus completed by selecting the required number of sample</w:t>
      </w:r>
      <w:r w:rsidR="004C54A1">
        <w:rPr>
          <w:rFonts w:asciiTheme="majorHAnsi" w:hAnsiTheme="majorHAnsi" w:cstheme="majorHAnsi"/>
          <w:snapToGrid w:val="0"/>
          <w:szCs w:val="22"/>
          <w:lang w:val="en-GB"/>
        </w:rPr>
        <w:t xml:space="preserve"> </w:t>
      </w:r>
      <w:r w:rsidRPr="00925091">
        <w:rPr>
          <w:rFonts w:asciiTheme="majorHAnsi" w:hAnsiTheme="majorHAnsi" w:cstheme="majorHAnsi"/>
          <w:snapToGrid w:val="0"/>
          <w:szCs w:val="22"/>
          <w:lang w:val="en-GB"/>
        </w:rPr>
        <w:t xml:space="preserve">EAs (specified in Table SD.2R) from each of the four regions, separately for the urban and </w:t>
      </w:r>
      <w:r w:rsidR="00566EF9" w:rsidRPr="00925091">
        <w:rPr>
          <w:rFonts w:asciiTheme="majorHAnsi" w:hAnsiTheme="majorHAnsi" w:cstheme="majorHAnsi"/>
          <w:lang w:val="en-GB"/>
        </w:rPr>
        <w:t>other</w:t>
      </w:r>
      <w:r w:rsidR="00566EF9" w:rsidRPr="00925091">
        <w:rPr>
          <w:rFonts w:asciiTheme="majorHAnsi" w:hAnsiTheme="majorHAnsi" w:cstheme="majorHAnsi"/>
          <w:snapToGrid w:val="0"/>
          <w:szCs w:val="22"/>
          <w:lang w:val="en-GB"/>
        </w:rPr>
        <w:t xml:space="preserve"> </w:t>
      </w:r>
      <w:r w:rsidRPr="00925091">
        <w:rPr>
          <w:rFonts w:asciiTheme="majorHAnsi" w:hAnsiTheme="majorHAnsi" w:cstheme="majorHAnsi"/>
          <w:snapToGrid w:val="0"/>
          <w:szCs w:val="22"/>
          <w:lang w:val="en-GB"/>
        </w:rPr>
        <w:t>strata.</w:t>
      </w:r>
    </w:p>
    <w:p w14:paraId="519B2618" w14:textId="77777777" w:rsidR="007B0AEA" w:rsidRPr="00925091" w:rsidRDefault="007B0AEA" w:rsidP="00F00395">
      <w:pPr>
        <w:pStyle w:val="Heading2"/>
        <w:numPr>
          <w:ilvl w:val="0"/>
          <w:numId w:val="55"/>
        </w:numPr>
        <w:spacing w:before="0" w:line="269" w:lineRule="auto"/>
        <w:rPr>
          <w:rStyle w:val="2H"/>
          <w:rFonts w:asciiTheme="majorHAnsi" w:hAnsiTheme="majorHAnsi" w:cstheme="majorHAnsi"/>
          <w:b w:val="0"/>
          <w:bCs/>
          <w:sz w:val="20"/>
          <w:szCs w:val="18"/>
          <w:lang w:val="en-GB"/>
        </w:rPr>
      </w:pPr>
      <w:bookmarkStart w:id="24" w:name="_Toc52987342"/>
      <w:r w:rsidRPr="00925091">
        <w:rPr>
          <w:rStyle w:val="2H"/>
          <w:rFonts w:asciiTheme="majorHAnsi" w:hAnsiTheme="majorHAnsi" w:cstheme="majorHAnsi"/>
          <w:b w:val="0"/>
          <w:bCs/>
          <w:sz w:val="20"/>
          <w:szCs w:val="18"/>
          <w:lang w:val="en-GB"/>
        </w:rPr>
        <w:t>Listing activities</w:t>
      </w:r>
      <w:bookmarkEnd w:id="24"/>
    </w:p>
    <w:p w14:paraId="24C84F8C" w14:textId="6ED00185" w:rsidR="007B0AEA" w:rsidRPr="00925091" w:rsidRDefault="007B0AEA" w:rsidP="000A02EE">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 xml:space="preserve">Given that there had been many changes in the households enumerated in the 2011 Census, a new listing of households was conducted in all the sample </w:t>
      </w:r>
      <w:r w:rsidR="00441F95">
        <w:rPr>
          <w:rFonts w:asciiTheme="majorHAnsi" w:hAnsiTheme="majorHAnsi" w:cstheme="majorHAnsi"/>
          <w:snapToGrid w:val="0"/>
          <w:szCs w:val="22"/>
          <w:lang w:val="en-GB"/>
        </w:rPr>
        <w:t>EAs</w:t>
      </w:r>
      <w:r w:rsidRPr="00925091">
        <w:rPr>
          <w:rFonts w:asciiTheme="majorHAnsi" w:hAnsiTheme="majorHAnsi" w:cstheme="majorHAnsi"/>
          <w:snapToGrid w:val="0"/>
          <w:szCs w:val="22"/>
          <w:lang w:val="en-GB"/>
        </w:rPr>
        <w:t xml:space="preserve"> prior to the selection of households. For this purpose, listing teams were trained to visit all the selected </w:t>
      </w:r>
      <w:r w:rsidR="00441F95">
        <w:rPr>
          <w:rFonts w:asciiTheme="majorHAnsi" w:hAnsiTheme="majorHAnsi" w:cstheme="majorHAnsi"/>
          <w:snapToGrid w:val="0"/>
          <w:szCs w:val="22"/>
          <w:lang w:val="en-GB"/>
        </w:rPr>
        <w:t>EAs</w:t>
      </w:r>
      <w:r w:rsidRPr="00925091">
        <w:rPr>
          <w:rFonts w:asciiTheme="majorHAnsi" w:hAnsiTheme="majorHAnsi" w:cstheme="majorHAnsi"/>
          <w:snapToGrid w:val="0"/>
          <w:szCs w:val="22"/>
          <w:lang w:val="en-GB"/>
        </w:rPr>
        <w:t xml:space="preserve"> and list all households in each enumeration area. </w:t>
      </w:r>
    </w:p>
    <w:p w14:paraId="33A079FD" w14:textId="2C0CC6CB" w:rsidR="007B0AEA" w:rsidRPr="00925091" w:rsidRDefault="007B0AEA" w:rsidP="000B1882">
      <w:pPr>
        <w:rPr>
          <w:rFonts w:asciiTheme="majorHAnsi" w:hAnsiTheme="majorHAnsi" w:cstheme="majorHAnsi"/>
          <w:snapToGrid w:val="0"/>
          <w:szCs w:val="22"/>
          <w:lang w:val="en-GB"/>
        </w:rPr>
      </w:pPr>
      <w:r w:rsidRPr="00925091">
        <w:rPr>
          <w:rFonts w:asciiTheme="majorHAnsi" w:hAnsiTheme="majorHAnsi" w:cstheme="majorHAnsi"/>
          <w:snapToGrid w:val="0"/>
          <w:szCs w:val="22"/>
          <w:lang w:val="en-GB"/>
        </w:rPr>
        <w:t xml:space="preserve">The Statistical Office of the Republic of Serbia was responsible for the listing operations. Regional Offices formed the teams responsible for listing and fieldwork. For each team, an ortho-photo map and description of the selected </w:t>
      </w:r>
      <w:r w:rsidR="00441F95">
        <w:rPr>
          <w:rFonts w:asciiTheme="majorHAnsi" w:hAnsiTheme="majorHAnsi" w:cstheme="majorHAnsi"/>
          <w:snapToGrid w:val="0"/>
          <w:szCs w:val="22"/>
          <w:lang w:val="en-GB"/>
        </w:rPr>
        <w:t>EA</w:t>
      </w:r>
      <w:r w:rsidRPr="00925091">
        <w:rPr>
          <w:rFonts w:asciiTheme="majorHAnsi" w:hAnsiTheme="majorHAnsi" w:cstheme="majorHAnsi"/>
          <w:snapToGrid w:val="0"/>
          <w:szCs w:val="22"/>
          <w:lang w:val="en-GB"/>
        </w:rPr>
        <w:t xml:space="preserve"> from the Census 2011 were provided, together with corresponding Google Earth maps with the EA boundaries clearly identified. Using the ortho-photo map, description of the </w:t>
      </w:r>
      <w:r w:rsidR="00441F95">
        <w:rPr>
          <w:rFonts w:asciiTheme="majorHAnsi" w:hAnsiTheme="majorHAnsi" w:cstheme="majorHAnsi"/>
          <w:snapToGrid w:val="0"/>
          <w:szCs w:val="22"/>
          <w:lang w:val="en-GB"/>
        </w:rPr>
        <w:t>EA</w:t>
      </w:r>
      <w:r w:rsidRPr="00925091">
        <w:rPr>
          <w:rFonts w:asciiTheme="majorHAnsi" w:hAnsiTheme="majorHAnsi" w:cstheme="majorHAnsi"/>
          <w:snapToGrid w:val="0"/>
          <w:szCs w:val="22"/>
          <w:lang w:val="en-GB"/>
        </w:rPr>
        <w:t xml:space="preserve"> and digital maps – with boundaries of EAs accessible via google maps, convenient for using GPS Google Earth maps, the listers’ task was to draw a map of the cluster together with all structures within the cluster and to record on the listing forms all objects, dwellings, households with the full addresses and the names of the heads of the households and to identify the current Roma households, together with the number of children under five living in the household. </w:t>
      </w:r>
      <w:r w:rsidR="000F0EF0" w:rsidRPr="00925091">
        <w:rPr>
          <w:rFonts w:asciiTheme="majorHAnsi" w:hAnsiTheme="majorHAnsi" w:cstheme="majorHAnsi"/>
          <w:snapToGrid w:val="0"/>
          <w:szCs w:val="22"/>
          <w:lang w:val="en-GB"/>
        </w:rPr>
        <w:t xml:space="preserve">In 12 </w:t>
      </w:r>
      <w:r w:rsidR="00441F95">
        <w:rPr>
          <w:rFonts w:asciiTheme="majorHAnsi" w:hAnsiTheme="majorHAnsi" w:cstheme="majorHAnsi"/>
          <w:snapToGrid w:val="0"/>
          <w:szCs w:val="22"/>
          <w:lang w:val="en-GB"/>
        </w:rPr>
        <w:t>EAs</w:t>
      </w:r>
      <w:r w:rsidR="000F0EF0" w:rsidRPr="00925091">
        <w:rPr>
          <w:rFonts w:asciiTheme="majorHAnsi" w:hAnsiTheme="majorHAnsi" w:cstheme="majorHAnsi"/>
          <w:snapToGrid w:val="0"/>
          <w:szCs w:val="22"/>
          <w:lang w:val="en-GB"/>
        </w:rPr>
        <w:t xml:space="preserve"> </w:t>
      </w:r>
      <w:r w:rsidR="00441F95">
        <w:rPr>
          <w:rFonts w:asciiTheme="majorHAnsi" w:hAnsiTheme="majorHAnsi" w:cstheme="majorHAnsi"/>
          <w:snapToGrid w:val="0"/>
          <w:szCs w:val="22"/>
          <w:lang w:val="en-GB"/>
        </w:rPr>
        <w:t>fewer</w:t>
      </w:r>
      <w:r w:rsidR="00441F95" w:rsidRPr="00925091">
        <w:rPr>
          <w:rFonts w:asciiTheme="majorHAnsi" w:hAnsiTheme="majorHAnsi" w:cstheme="majorHAnsi"/>
          <w:snapToGrid w:val="0"/>
          <w:szCs w:val="22"/>
          <w:lang w:val="en-GB"/>
        </w:rPr>
        <w:t xml:space="preserve"> </w:t>
      </w:r>
      <w:r w:rsidR="000F0EF0" w:rsidRPr="00925091">
        <w:rPr>
          <w:rFonts w:asciiTheme="majorHAnsi" w:hAnsiTheme="majorHAnsi" w:cstheme="majorHAnsi"/>
          <w:snapToGrid w:val="0"/>
          <w:szCs w:val="22"/>
          <w:lang w:val="en-GB"/>
        </w:rPr>
        <w:t xml:space="preserve">than 20 Roma households were listed. </w:t>
      </w:r>
      <w:r w:rsidRPr="00925091">
        <w:rPr>
          <w:rFonts w:asciiTheme="majorHAnsi" w:hAnsiTheme="majorHAnsi" w:cstheme="majorHAnsi"/>
          <w:snapToGrid w:val="0"/>
          <w:szCs w:val="22"/>
          <w:lang w:val="en-GB"/>
        </w:rPr>
        <w:t xml:space="preserve">In one </w:t>
      </w:r>
      <w:r w:rsidR="00441F95">
        <w:rPr>
          <w:rFonts w:asciiTheme="majorHAnsi" w:hAnsiTheme="majorHAnsi" w:cstheme="majorHAnsi"/>
          <w:snapToGrid w:val="0"/>
          <w:szCs w:val="22"/>
          <w:lang w:val="en-GB"/>
        </w:rPr>
        <w:t>EA</w:t>
      </w:r>
      <w:r w:rsidRPr="00925091">
        <w:rPr>
          <w:rFonts w:asciiTheme="majorHAnsi" w:hAnsiTheme="majorHAnsi" w:cstheme="majorHAnsi"/>
          <w:snapToGrid w:val="0"/>
          <w:szCs w:val="22"/>
          <w:lang w:val="en-GB"/>
        </w:rPr>
        <w:t xml:space="preserve"> only non-Roma households</w:t>
      </w:r>
      <w:r w:rsidR="00AD3BF3" w:rsidRPr="00925091">
        <w:rPr>
          <w:rFonts w:asciiTheme="majorHAnsi" w:hAnsiTheme="majorHAnsi" w:cstheme="majorHAnsi"/>
          <w:snapToGrid w:val="0"/>
          <w:szCs w:val="22"/>
          <w:lang w:val="en-GB"/>
        </w:rPr>
        <w:t xml:space="preserve"> were listed</w:t>
      </w:r>
      <w:r w:rsidRPr="00925091">
        <w:rPr>
          <w:rFonts w:asciiTheme="majorHAnsi" w:hAnsiTheme="majorHAnsi" w:cstheme="majorHAnsi"/>
          <w:snapToGrid w:val="0"/>
          <w:szCs w:val="22"/>
          <w:lang w:val="en-GB"/>
        </w:rPr>
        <w:t>. The listing process was performed during January and February 2019.</w:t>
      </w:r>
    </w:p>
    <w:p w14:paraId="4B960936" w14:textId="77777777" w:rsidR="007B0AEA" w:rsidRPr="00925091" w:rsidRDefault="007B0AEA" w:rsidP="00F00395">
      <w:pPr>
        <w:pStyle w:val="Heading2"/>
        <w:numPr>
          <w:ilvl w:val="0"/>
          <w:numId w:val="56"/>
        </w:numPr>
        <w:spacing w:before="0" w:line="269" w:lineRule="auto"/>
        <w:rPr>
          <w:rStyle w:val="2H"/>
          <w:rFonts w:asciiTheme="majorHAnsi" w:hAnsiTheme="majorHAnsi" w:cstheme="majorHAnsi"/>
          <w:b w:val="0"/>
          <w:bCs/>
          <w:sz w:val="20"/>
          <w:szCs w:val="18"/>
          <w:lang w:val="en-GB"/>
        </w:rPr>
      </w:pPr>
      <w:bookmarkStart w:id="25" w:name="_Toc52987343"/>
      <w:r w:rsidRPr="00925091">
        <w:rPr>
          <w:rStyle w:val="2H"/>
          <w:rFonts w:asciiTheme="majorHAnsi" w:hAnsiTheme="majorHAnsi" w:cstheme="majorHAnsi"/>
          <w:b w:val="0"/>
          <w:bCs/>
          <w:sz w:val="20"/>
          <w:szCs w:val="18"/>
          <w:lang w:val="en-GB"/>
        </w:rPr>
        <w:t>Selection of households</w:t>
      </w:r>
      <w:bookmarkEnd w:id="25"/>
    </w:p>
    <w:p w14:paraId="26F27BBF" w14:textId="3CD73B7C" w:rsidR="007B0AEA" w:rsidRPr="00925091" w:rsidRDefault="000F0EF0"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Lists of households were prepared by the listing teams in the field for each </w:t>
      </w:r>
      <w:r w:rsidR="00441F95">
        <w:rPr>
          <w:rFonts w:asciiTheme="majorHAnsi" w:hAnsiTheme="majorHAnsi" w:cstheme="majorHAnsi"/>
          <w:szCs w:val="22"/>
          <w:lang w:val="en-GB"/>
        </w:rPr>
        <w:t>EA</w:t>
      </w:r>
      <w:r w:rsidRPr="00925091">
        <w:rPr>
          <w:rFonts w:asciiTheme="majorHAnsi" w:hAnsiTheme="majorHAnsi" w:cstheme="majorHAnsi"/>
          <w:szCs w:val="22"/>
          <w:lang w:val="en-GB"/>
        </w:rPr>
        <w:t xml:space="preserve">. The Roma households were then sequentially numbered from 1 to </w:t>
      </w:r>
      <w:r w:rsidRPr="00925091">
        <w:rPr>
          <w:rFonts w:asciiTheme="majorHAnsi" w:hAnsiTheme="majorHAnsi" w:cstheme="majorHAnsi"/>
          <w:i/>
          <w:szCs w:val="22"/>
          <w:lang w:val="en-GB"/>
        </w:rPr>
        <w:t>M</w:t>
      </w:r>
      <w:r w:rsidRPr="00925091">
        <w:rPr>
          <w:rFonts w:asciiTheme="majorHAnsi" w:hAnsiTheme="majorHAnsi" w:cstheme="majorHAnsi"/>
          <w:i/>
          <w:szCs w:val="22"/>
          <w:vertAlign w:val="subscript"/>
          <w:lang w:val="en-GB"/>
        </w:rPr>
        <w:t>hi</w:t>
      </w:r>
      <w:r w:rsidRPr="00925091">
        <w:rPr>
          <w:rFonts w:asciiTheme="majorHAnsi" w:hAnsiTheme="majorHAnsi" w:cstheme="majorHAnsi"/>
          <w:szCs w:val="22"/>
          <w:lang w:val="en-GB"/>
        </w:rPr>
        <w:t xml:space="preserve"> (the total number of Roma households in each </w:t>
      </w:r>
      <w:r w:rsidR="00441F95">
        <w:rPr>
          <w:rFonts w:asciiTheme="majorHAnsi" w:hAnsiTheme="majorHAnsi" w:cstheme="majorHAnsi"/>
          <w:szCs w:val="22"/>
          <w:lang w:val="en-GB"/>
        </w:rPr>
        <w:t>EA</w:t>
      </w:r>
      <w:r w:rsidRPr="00925091">
        <w:rPr>
          <w:rFonts w:asciiTheme="majorHAnsi" w:hAnsiTheme="majorHAnsi" w:cstheme="majorHAnsi"/>
          <w:szCs w:val="22"/>
          <w:lang w:val="en-GB"/>
        </w:rPr>
        <w:t xml:space="preserve">) at the Statistical Office of the Republic of Serbia, where the selection of 20 </w:t>
      </w:r>
      <w:r w:rsidR="00AD3BF3" w:rsidRPr="00925091">
        <w:rPr>
          <w:rFonts w:asciiTheme="majorHAnsi" w:hAnsiTheme="majorHAnsi" w:cstheme="majorHAnsi"/>
          <w:szCs w:val="22"/>
          <w:lang w:val="en-GB"/>
        </w:rPr>
        <w:t xml:space="preserve">Roma </w:t>
      </w:r>
      <w:r w:rsidRPr="00925091">
        <w:rPr>
          <w:rFonts w:asciiTheme="majorHAnsi" w:hAnsiTheme="majorHAnsi" w:cstheme="majorHAnsi"/>
          <w:szCs w:val="22"/>
          <w:lang w:val="en-GB"/>
        </w:rPr>
        <w:t xml:space="preserve">households in all </w:t>
      </w:r>
      <w:r w:rsidR="00441F95">
        <w:rPr>
          <w:rFonts w:asciiTheme="majorHAnsi" w:hAnsiTheme="majorHAnsi" w:cstheme="majorHAnsi"/>
          <w:szCs w:val="22"/>
          <w:lang w:val="en-GB"/>
        </w:rPr>
        <w:t>EA</w:t>
      </w:r>
      <w:r w:rsidRPr="00925091">
        <w:rPr>
          <w:rFonts w:asciiTheme="majorHAnsi" w:hAnsiTheme="majorHAnsi" w:cstheme="majorHAnsi"/>
          <w:szCs w:val="22"/>
          <w:lang w:val="en-GB"/>
        </w:rPr>
        <w:t xml:space="preserve"> with more than 20 Roma households listed, was carried out using random systematic selection procedures. In </w:t>
      </w:r>
      <w:r w:rsidR="00441F95">
        <w:rPr>
          <w:rFonts w:asciiTheme="majorHAnsi" w:hAnsiTheme="majorHAnsi" w:cstheme="majorHAnsi"/>
          <w:szCs w:val="22"/>
          <w:lang w:val="en-GB"/>
        </w:rPr>
        <w:t>EAs</w:t>
      </w:r>
      <w:r w:rsidRPr="00925091">
        <w:rPr>
          <w:rFonts w:asciiTheme="majorHAnsi" w:hAnsiTheme="majorHAnsi" w:cstheme="majorHAnsi"/>
          <w:szCs w:val="22"/>
          <w:lang w:val="en-GB"/>
        </w:rPr>
        <w:t xml:space="preserve"> with 20 and</w:t>
      </w:r>
      <w:r w:rsidR="00441F95">
        <w:rPr>
          <w:rFonts w:asciiTheme="majorHAnsi" w:hAnsiTheme="majorHAnsi" w:cstheme="majorHAnsi"/>
          <w:szCs w:val="22"/>
          <w:lang w:val="en-GB"/>
        </w:rPr>
        <w:t xml:space="preserve"> fewer</w:t>
      </w:r>
      <w:r w:rsidR="00441F95"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 xml:space="preserve">Roma households, all of these households were included in the sample. One </w:t>
      </w:r>
      <w:r w:rsidR="00441F95">
        <w:rPr>
          <w:rFonts w:asciiTheme="majorHAnsi" w:hAnsiTheme="majorHAnsi" w:cstheme="majorHAnsi"/>
          <w:szCs w:val="22"/>
          <w:lang w:val="en-GB"/>
        </w:rPr>
        <w:t>EA</w:t>
      </w:r>
      <w:r w:rsidRPr="00925091">
        <w:rPr>
          <w:rFonts w:asciiTheme="majorHAnsi" w:hAnsiTheme="majorHAnsi" w:cstheme="majorHAnsi"/>
          <w:szCs w:val="22"/>
          <w:lang w:val="en-GB"/>
        </w:rPr>
        <w:t xml:space="preserve"> </w:t>
      </w:r>
      <w:r w:rsidR="00441F95">
        <w:rPr>
          <w:rFonts w:asciiTheme="majorHAnsi" w:hAnsiTheme="majorHAnsi" w:cstheme="majorHAnsi"/>
          <w:szCs w:val="22"/>
          <w:lang w:val="en-GB"/>
        </w:rPr>
        <w:t xml:space="preserve">that did not have any </w:t>
      </w:r>
      <w:r w:rsidRPr="00925091">
        <w:rPr>
          <w:rFonts w:asciiTheme="majorHAnsi" w:hAnsiTheme="majorHAnsi" w:cstheme="majorHAnsi"/>
          <w:szCs w:val="22"/>
          <w:lang w:val="en-GB"/>
        </w:rPr>
        <w:t xml:space="preserve">Roma households </w:t>
      </w:r>
      <w:r w:rsidR="00441F95">
        <w:rPr>
          <w:rFonts w:asciiTheme="majorHAnsi" w:hAnsiTheme="majorHAnsi" w:cstheme="majorHAnsi"/>
          <w:szCs w:val="22"/>
          <w:lang w:val="en-GB"/>
        </w:rPr>
        <w:t xml:space="preserve">listed </w:t>
      </w:r>
      <w:r w:rsidRPr="00925091">
        <w:rPr>
          <w:rFonts w:asciiTheme="majorHAnsi" w:hAnsiTheme="majorHAnsi" w:cstheme="majorHAnsi"/>
          <w:szCs w:val="22"/>
          <w:lang w:val="en-GB"/>
        </w:rPr>
        <w:t xml:space="preserve">was excluded from the sample. During the data collection, another 18 households were included in the sample, in the case where interviewers identified that two </w:t>
      </w:r>
      <w:r w:rsidR="00ED1442" w:rsidRPr="00925091">
        <w:rPr>
          <w:rFonts w:asciiTheme="majorHAnsi" w:hAnsiTheme="majorHAnsi" w:cstheme="majorHAnsi"/>
          <w:szCs w:val="22"/>
          <w:lang w:val="en-GB"/>
        </w:rPr>
        <w:t xml:space="preserve">or more </w:t>
      </w:r>
      <w:r w:rsidRPr="00925091">
        <w:rPr>
          <w:rFonts w:asciiTheme="majorHAnsi" w:hAnsiTheme="majorHAnsi" w:cstheme="majorHAnsi"/>
          <w:szCs w:val="22"/>
          <w:lang w:val="en-GB"/>
        </w:rPr>
        <w:t xml:space="preserve">households were living in the dwelling, instead of </w:t>
      </w:r>
      <w:r w:rsidR="00441F95" w:rsidRPr="00925091">
        <w:rPr>
          <w:rFonts w:asciiTheme="majorHAnsi" w:hAnsiTheme="majorHAnsi" w:cstheme="majorHAnsi"/>
          <w:szCs w:val="22"/>
          <w:lang w:val="en-GB"/>
        </w:rPr>
        <w:t xml:space="preserve">only </w:t>
      </w:r>
      <w:r w:rsidRPr="00925091">
        <w:rPr>
          <w:rFonts w:asciiTheme="majorHAnsi" w:hAnsiTheme="majorHAnsi" w:cstheme="majorHAnsi"/>
          <w:szCs w:val="22"/>
          <w:lang w:val="en-GB"/>
        </w:rPr>
        <w:t>the one listed.</w:t>
      </w:r>
    </w:p>
    <w:p w14:paraId="7C46EF4F" w14:textId="77777777" w:rsidR="007B0AEA" w:rsidRPr="00925091" w:rsidRDefault="007B0AEA" w:rsidP="00F00395">
      <w:pPr>
        <w:pStyle w:val="Heading2"/>
        <w:numPr>
          <w:ilvl w:val="0"/>
          <w:numId w:val="56"/>
        </w:numPr>
        <w:spacing w:before="0" w:line="269" w:lineRule="auto"/>
        <w:rPr>
          <w:rStyle w:val="2H"/>
          <w:rFonts w:asciiTheme="majorHAnsi" w:hAnsiTheme="majorHAnsi" w:cstheme="majorHAnsi"/>
          <w:b w:val="0"/>
          <w:bCs/>
          <w:sz w:val="20"/>
          <w:szCs w:val="18"/>
          <w:lang w:val="en-GB"/>
        </w:rPr>
      </w:pPr>
      <w:bookmarkStart w:id="26" w:name="_Toc52987344"/>
      <w:r w:rsidRPr="00925091">
        <w:rPr>
          <w:rStyle w:val="2H"/>
          <w:rFonts w:asciiTheme="majorHAnsi" w:hAnsiTheme="majorHAnsi" w:cstheme="majorHAnsi"/>
          <w:b w:val="0"/>
          <w:bCs/>
          <w:sz w:val="20"/>
          <w:szCs w:val="18"/>
          <w:lang w:val="en-GB"/>
        </w:rPr>
        <w:t>Calculation of sample weights</w:t>
      </w:r>
      <w:bookmarkEnd w:id="26"/>
    </w:p>
    <w:p w14:paraId="6F0CD5F0" w14:textId="6ADD2B03"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The 2019 Serbia Roma Settlements MICS sample is not self-weighting, due to a disproportional allocation of the sample to the strata and </w:t>
      </w:r>
      <w:r w:rsidR="000A02EE" w:rsidRPr="00925091">
        <w:rPr>
          <w:rFonts w:asciiTheme="majorHAnsi" w:hAnsiTheme="majorHAnsi" w:cstheme="majorHAnsi"/>
          <w:szCs w:val="22"/>
          <w:lang w:val="en-GB"/>
        </w:rPr>
        <w:t>different response patterns among strata and individual data</w:t>
      </w:r>
      <w:r w:rsidRPr="00925091">
        <w:rPr>
          <w:rFonts w:asciiTheme="majorHAnsi" w:hAnsiTheme="majorHAnsi" w:cstheme="majorHAnsi"/>
          <w:szCs w:val="22"/>
          <w:lang w:val="en-GB"/>
        </w:rPr>
        <w:t xml:space="preserve">. In order to obtain representative results for the Serbia Roma Settlements, sample weights were </w:t>
      </w:r>
      <w:r w:rsidR="000A02EE" w:rsidRPr="00925091">
        <w:rPr>
          <w:rFonts w:asciiTheme="majorHAnsi" w:hAnsiTheme="majorHAnsi" w:cstheme="majorHAnsi"/>
          <w:szCs w:val="22"/>
          <w:lang w:val="en-GB"/>
        </w:rPr>
        <w:t>calculated as follows</w:t>
      </w:r>
      <w:r w:rsidRPr="00925091">
        <w:rPr>
          <w:rFonts w:asciiTheme="majorHAnsi" w:hAnsiTheme="majorHAnsi" w:cstheme="majorHAnsi"/>
          <w:szCs w:val="22"/>
          <w:lang w:val="en-GB"/>
        </w:rPr>
        <w:t xml:space="preserve">. </w:t>
      </w:r>
    </w:p>
    <w:p w14:paraId="5A785218" w14:textId="77777777"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The major component of the weight is the reciprocal of the sampling fraction employed in selecting the number of sample households in that particular sampling stratum (</w:t>
      </w:r>
      <w:r w:rsidRPr="00925091">
        <w:rPr>
          <w:rFonts w:asciiTheme="majorHAnsi" w:hAnsiTheme="majorHAnsi" w:cstheme="majorHAnsi"/>
          <w:i/>
          <w:szCs w:val="22"/>
          <w:lang w:val="en-GB"/>
        </w:rPr>
        <w:t>h</w:t>
      </w:r>
      <w:r w:rsidRPr="00925091">
        <w:rPr>
          <w:rFonts w:asciiTheme="majorHAnsi" w:hAnsiTheme="majorHAnsi" w:cstheme="majorHAnsi"/>
          <w:szCs w:val="22"/>
          <w:lang w:val="en-GB"/>
        </w:rPr>
        <w:t>) and PSU (</w:t>
      </w:r>
      <w:r w:rsidRPr="00925091">
        <w:rPr>
          <w:rFonts w:asciiTheme="majorHAnsi" w:hAnsiTheme="majorHAnsi" w:cstheme="majorHAnsi"/>
          <w:i/>
          <w:szCs w:val="22"/>
          <w:lang w:val="en-GB"/>
        </w:rPr>
        <w:t>i</w:t>
      </w:r>
      <w:r w:rsidRPr="00925091">
        <w:rPr>
          <w:rFonts w:asciiTheme="majorHAnsi" w:hAnsiTheme="majorHAnsi" w:cstheme="majorHAnsi"/>
          <w:szCs w:val="22"/>
          <w:lang w:val="en-GB"/>
        </w:rPr>
        <w:t>):</w:t>
      </w:r>
    </w:p>
    <w:p w14:paraId="54F250F0" w14:textId="77777777" w:rsidR="007B0AEA" w:rsidRPr="00925091" w:rsidRDefault="0033107F" w:rsidP="007B0AEA">
      <w:pPr>
        <w:pStyle w:val="ListParagraph"/>
        <w:spacing w:line="269" w:lineRule="auto"/>
        <w:ind w:left="360"/>
        <w:jc w:val="center"/>
        <w:rPr>
          <w:rFonts w:asciiTheme="majorHAnsi" w:hAnsiTheme="majorHAnsi" w:cstheme="majorHAnsi"/>
          <w:i/>
          <w:lang w:val="en-GB"/>
        </w:rPr>
      </w:pPr>
      <w:r w:rsidRPr="0033107F">
        <w:rPr>
          <w:noProof/>
          <w:lang w:val="en-GB"/>
        </w:rPr>
        <w:object w:dxaOrig="980" w:dyaOrig="680" w14:anchorId="0796EFFF">
          <v:shape id="_x0000_i1033" type="#_x0000_t75" alt="" style="width:47.25pt;height:37.5pt;mso-width-percent:0;mso-height-percent:0;mso-width-percent:0;mso-height-percent:0" o:ole="">
            <v:imagedata r:id="rId10" o:title=""/>
          </v:shape>
          <o:OLEObject Type="Embed" ProgID="Equation.3" ShapeID="_x0000_i1033" DrawAspect="Content" ObjectID="_1666521041" r:id="rId29"/>
        </w:object>
      </w:r>
    </w:p>
    <w:p w14:paraId="6F17E871" w14:textId="77777777"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The term </w:t>
      </w:r>
      <w:r w:rsidRPr="00925091">
        <w:rPr>
          <w:rFonts w:asciiTheme="majorHAnsi" w:hAnsiTheme="majorHAnsi" w:cstheme="majorHAnsi"/>
          <w:i/>
          <w:szCs w:val="22"/>
          <w:lang w:val="en-GB"/>
        </w:rPr>
        <w:t>f</w:t>
      </w:r>
      <w:r w:rsidRPr="00925091">
        <w:rPr>
          <w:rFonts w:asciiTheme="majorHAnsi" w:hAnsiTheme="majorHAnsi" w:cstheme="majorHAnsi"/>
          <w:i/>
          <w:szCs w:val="22"/>
          <w:vertAlign w:val="subscript"/>
          <w:lang w:val="en-GB"/>
        </w:rPr>
        <w:t>hi</w:t>
      </w:r>
      <w:r w:rsidRPr="00925091">
        <w:rPr>
          <w:rFonts w:asciiTheme="majorHAnsi" w:hAnsiTheme="majorHAnsi" w:cstheme="majorHAnsi"/>
          <w:szCs w:val="22"/>
          <w:lang w:val="en-GB"/>
        </w:rPr>
        <w:t xml:space="preserve">, the sampling probability for the </w:t>
      </w:r>
      <w:r w:rsidRPr="00925091">
        <w:rPr>
          <w:rFonts w:asciiTheme="majorHAnsi" w:hAnsiTheme="majorHAnsi" w:cstheme="majorHAnsi"/>
          <w:i/>
          <w:szCs w:val="22"/>
          <w:lang w:val="en-GB"/>
        </w:rPr>
        <w:t>i</w:t>
      </w:r>
      <w:r w:rsidRPr="00925091">
        <w:rPr>
          <w:rFonts w:asciiTheme="majorHAnsi" w:hAnsiTheme="majorHAnsi" w:cstheme="majorHAnsi"/>
          <w:szCs w:val="22"/>
          <w:lang w:val="en-GB"/>
        </w:rPr>
        <w:t xml:space="preserve">-th sample PSU in the </w:t>
      </w:r>
      <w:r w:rsidRPr="00925091">
        <w:rPr>
          <w:rFonts w:asciiTheme="majorHAnsi" w:hAnsiTheme="majorHAnsi" w:cstheme="majorHAnsi"/>
          <w:i/>
          <w:szCs w:val="22"/>
          <w:lang w:val="en-GB"/>
        </w:rPr>
        <w:t>h</w:t>
      </w:r>
      <w:r w:rsidRPr="00925091">
        <w:rPr>
          <w:rFonts w:asciiTheme="majorHAnsi" w:hAnsiTheme="majorHAnsi" w:cstheme="majorHAnsi"/>
          <w:szCs w:val="22"/>
          <w:lang w:val="en-GB"/>
        </w:rPr>
        <w:t>-th stratum, is the product of the probabilities of selection at every stage in each sampling stratum:</w:t>
      </w:r>
    </w:p>
    <w:p w14:paraId="033D2E6A" w14:textId="5412B6F6" w:rsidR="007B0AEA" w:rsidRPr="00925091" w:rsidRDefault="0033107F" w:rsidP="007B0AEA">
      <w:pPr>
        <w:pStyle w:val="ListParagraph"/>
        <w:spacing w:line="269" w:lineRule="auto"/>
        <w:ind w:left="360"/>
        <w:jc w:val="center"/>
        <w:rPr>
          <w:rFonts w:asciiTheme="majorHAnsi" w:hAnsiTheme="majorHAnsi" w:cstheme="majorHAnsi"/>
          <w:i/>
          <w:lang w:val="en-GB"/>
        </w:rPr>
      </w:pPr>
      <w:r w:rsidRPr="0033107F">
        <w:rPr>
          <w:noProof/>
          <w:position w:val="-12"/>
          <w:vertAlign w:val="subscript"/>
          <w:lang w:val="en-GB"/>
        </w:rPr>
        <w:object w:dxaOrig="1480" w:dyaOrig="360" w14:anchorId="152DA850">
          <v:shape id="_x0000_i1034" type="#_x0000_t75" alt="" style="width:76.5pt;height:20.25pt;mso-width-percent:0;mso-height-percent:0;mso-width-percent:0;mso-height-percent:0" o:ole="">
            <v:imagedata r:id="rId30" o:title=""/>
          </v:shape>
          <o:OLEObject Type="Embed" ProgID="Equation.3" ShapeID="_x0000_i1034" DrawAspect="Content" ObjectID="_1666521042" r:id="rId31"/>
        </w:object>
      </w:r>
      <w:r w:rsidR="007B0AEA" w:rsidRPr="00925091">
        <w:rPr>
          <w:rFonts w:asciiTheme="majorHAnsi" w:hAnsiTheme="majorHAnsi" w:cstheme="majorHAnsi"/>
          <w:i/>
          <w:lang w:val="en-GB"/>
        </w:rPr>
        <w:t>,</w:t>
      </w:r>
    </w:p>
    <w:p w14:paraId="5D2A599E" w14:textId="77777777"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lastRenderedPageBreak/>
        <w:t xml:space="preserve">where </w:t>
      </w:r>
      <w:r w:rsidRPr="00925091">
        <w:rPr>
          <w:rFonts w:asciiTheme="majorHAnsi" w:hAnsiTheme="majorHAnsi" w:cstheme="majorHAnsi"/>
          <w:i/>
          <w:szCs w:val="22"/>
          <w:lang w:val="en-GB"/>
        </w:rPr>
        <w:t>p</w:t>
      </w:r>
      <w:r w:rsidRPr="00925091">
        <w:rPr>
          <w:rFonts w:asciiTheme="majorHAnsi" w:hAnsiTheme="majorHAnsi" w:cstheme="majorHAnsi"/>
          <w:szCs w:val="22"/>
          <w:vertAlign w:val="subscript"/>
          <w:lang w:val="en-GB"/>
        </w:rPr>
        <w:t>s</w:t>
      </w:r>
      <w:r w:rsidRPr="00925091">
        <w:rPr>
          <w:rFonts w:asciiTheme="majorHAnsi" w:hAnsiTheme="majorHAnsi" w:cstheme="majorHAnsi"/>
          <w:i/>
          <w:szCs w:val="22"/>
          <w:vertAlign w:val="subscript"/>
          <w:lang w:val="en-GB"/>
        </w:rPr>
        <w:t>hi</w:t>
      </w:r>
      <w:r w:rsidRPr="00925091">
        <w:rPr>
          <w:rFonts w:asciiTheme="majorHAnsi" w:hAnsiTheme="majorHAnsi" w:cstheme="majorHAnsi"/>
          <w:szCs w:val="22"/>
          <w:lang w:val="en-GB"/>
        </w:rPr>
        <w:t xml:space="preserve"> is the probability of selection of the sampling unit at stage </w:t>
      </w:r>
      <w:r w:rsidRPr="00925091">
        <w:rPr>
          <w:rFonts w:asciiTheme="majorHAnsi" w:hAnsiTheme="majorHAnsi" w:cstheme="majorHAnsi"/>
          <w:i/>
          <w:szCs w:val="22"/>
          <w:lang w:val="en-GB"/>
        </w:rPr>
        <w:t>s</w:t>
      </w:r>
      <w:r w:rsidRPr="00925091">
        <w:rPr>
          <w:rFonts w:asciiTheme="majorHAnsi" w:hAnsiTheme="majorHAnsi" w:cstheme="majorHAnsi"/>
          <w:szCs w:val="22"/>
          <w:lang w:val="en-GB"/>
        </w:rPr>
        <w:t xml:space="preserve"> for the </w:t>
      </w:r>
      <w:r w:rsidRPr="00925091">
        <w:rPr>
          <w:rFonts w:asciiTheme="majorHAnsi" w:hAnsiTheme="majorHAnsi" w:cstheme="majorHAnsi"/>
          <w:i/>
          <w:szCs w:val="22"/>
          <w:lang w:val="en-GB"/>
        </w:rPr>
        <w:t>i</w:t>
      </w:r>
      <w:r w:rsidRPr="00925091">
        <w:rPr>
          <w:rFonts w:asciiTheme="majorHAnsi" w:hAnsiTheme="majorHAnsi" w:cstheme="majorHAnsi"/>
          <w:szCs w:val="22"/>
          <w:lang w:val="en-GB"/>
        </w:rPr>
        <w:t xml:space="preserve">-th sample PSU in the </w:t>
      </w:r>
      <w:r w:rsidRPr="00925091">
        <w:rPr>
          <w:rFonts w:asciiTheme="majorHAnsi" w:hAnsiTheme="majorHAnsi" w:cstheme="majorHAnsi"/>
          <w:i/>
          <w:szCs w:val="22"/>
          <w:lang w:val="en-GB"/>
        </w:rPr>
        <w:t>h</w:t>
      </w:r>
      <w:r w:rsidRPr="00925091">
        <w:rPr>
          <w:rFonts w:asciiTheme="majorHAnsi" w:hAnsiTheme="majorHAnsi" w:cstheme="majorHAnsi"/>
          <w:szCs w:val="22"/>
          <w:lang w:val="en-GB"/>
        </w:rPr>
        <w:t>-th sampling stratum. Based on the sample design, these probabilities were calculated as follows:</w:t>
      </w:r>
    </w:p>
    <w:p w14:paraId="3CBCFCAF" w14:textId="77777777" w:rsidR="007B0AEA" w:rsidRPr="00925091" w:rsidRDefault="007B0AEA" w:rsidP="007B0AEA">
      <w:pPr>
        <w:pStyle w:val="ListParagraph"/>
        <w:spacing w:line="269" w:lineRule="auto"/>
        <w:ind w:left="360"/>
        <w:rPr>
          <w:rFonts w:asciiTheme="majorHAnsi" w:hAnsiTheme="majorHAnsi" w:cstheme="majorHAnsi"/>
          <w:lang w:val="en-GB"/>
        </w:rPr>
      </w:pPr>
      <w:r w:rsidRPr="00925091">
        <w:rPr>
          <w:rFonts w:asciiTheme="majorHAnsi" w:hAnsiTheme="majorHAnsi" w:cstheme="majorHAnsi"/>
          <w:i/>
          <w:lang w:val="en-GB"/>
        </w:rPr>
        <w:t>p</w:t>
      </w:r>
      <w:r w:rsidRPr="00925091">
        <w:rPr>
          <w:rFonts w:asciiTheme="majorHAnsi" w:hAnsiTheme="majorHAnsi" w:cstheme="majorHAnsi"/>
          <w:vertAlign w:val="subscript"/>
          <w:lang w:val="en-GB"/>
        </w:rPr>
        <w:t>1</w:t>
      </w:r>
      <w:r w:rsidRPr="00925091">
        <w:rPr>
          <w:rFonts w:asciiTheme="majorHAnsi" w:hAnsiTheme="majorHAnsi" w:cstheme="majorHAnsi"/>
          <w:i/>
          <w:vertAlign w:val="subscript"/>
          <w:lang w:val="en-GB"/>
        </w:rPr>
        <w:t>hi</w:t>
      </w:r>
      <w:r w:rsidRPr="00925091">
        <w:rPr>
          <w:rFonts w:asciiTheme="majorHAnsi" w:hAnsiTheme="majorHAnsi" w:cstheme="majorHAnsi"/>
          <w:i/>
          <w:lang w:val="en-GB"/>
        </w:rPr>
        <w:t xml:space="preserve"> </w:t>
      </w:r>
      <w:r w:rsidRPr="00925091">
        <w:rPr>
          <w:rFonts w:asciiTheme="majorHAnsi" w:hAnsiTheme="majorHAnsi" w:cstheme="majorHAnsi"/>
          <w:lang w:val="en-GB"/>
        </w:rPr>
        <w:t>=</w:t>
      </w:r>
      <w:r w:rsidRPr="00925091">
        <w:rPr>
          <w:rFonts w:asciiTheme="majorHAnsi" w:hAnsiTheme="majorHAnsi" w:cstheme="majorHAnsi"/>
          <w:lang w:val="en-GB"/>
        </w:rPr>
        <w:tab/>
      </w:r>
      <w:r w:rsidR="0033107F" w:rsidRPr="0033107F">
        <w:rPr>
          <w:noProof/>
          <w:vertAlign w:val="subscript"/>
          <w:lang w:val="en-GB"/>
        </w:rPr>
        <w:object w:dxaOrig="940" w:dyaOrig="700" w14:anchorId="5D82DC1A">
          <v:shape id="_x0000_i1035" type="#_x0000_t75" alt="" style="width:47.25pt;height:36.75pt;mso-width-percent:0;mso-height-percent:0;mso-width-percent:0;mso-height-percent:0" o:ole="">
            <v:imagedata r:id="rId32" o:title=""/>
          </v:shape>
          <o:OLEObject Type="Embed" ProgID="Equation.3" ShapeID="_x0000_i1035" DrawAspect="Content" ObjectID="_1666521043" r:id="rId33"/>
        </w:object>
      </w:r>
      <w:r w:rsidRPr="00925091">
        <w:rPr>
          <w:rFonts w:asciiTheme="majorHAnsi" w:hAnsiTheme="majorHAnsi" w:cstheme="majorHAnsi"/>
          <w:i/>
          <w:vertAlign w:val="subscript"/>
          <w:lang w:val="en-GB"/>
        </w:rPr>
        <w:t>,</w:t>
      </w:r>
    </w:p>
    <w:p w14:paraId="3936A0D6" w14:textId="16EE045E" w:rsidR="007B0AEA" w:rsidRPr="00925091" w:rsidRDefault="007B0AEA" w:rsidP="007B0AEA">
      <w:pPr>
        <w:pStyle w:val="NoSpacing"/>
        <w:spacing w:line="269" w:lineRule="auto"/>
        <w:ind w:left="360"/>
        <w:rPr>
          <w:rFonts w:asciiTheme="majorHAnsi" w:hAnsiTheme="majorHAnsi" w:cstheme="majorHAnsi"/>
          <w:i/>
          <w:lang w:val="en-GB"/>
        </w:rPr>
      </w:pPr>
      <w:r w:rsidRPr="00925091">
        <w:rPr>
          <w:rFonts w:asciiTheme="majorHAnsi" w:hAnsiTheme="majorHAnsi" w:cstheme="majorHAnsi"/>
          <w:i/>
          <w:lang w:val="en-GB"/>
        </w:rPr>
        <w:t>n</w:t>
      </w:r>
      <w:r w:rsidRPr="00925091">
        <w:rPr>
          <w:rFonts w:asciiTheme="majorHAnsi" w:hAnsiTheme="majorHAnsi" w:cstheme="majorHAnsi"/>
          <w:i/>
          <w:vertAlign w:val="subscript"/>
          <w:lang w:val="en-GB"/>
        </w:rPr>
        <w:t>h</w:t>
      </w:r>
      <w:r w:rsidRPr="00925091">
        <w:rPr>
          <w:rFonts w:asciiTheme="majorHAnsi" w:hAnsiTheme="majorHAnsi" w:cstheme="majorHAnsi"/>
          <w:lang w:val="en-GB"/>
        </w:rPr>
        <w:t xml:space="preserve"> =</w:t>
      </w:r>
      <w:r w:rsidRPr="00925091">
        <w:rPr>
          <w:rFonts w:asciiTheme="majorHAnsi" w:hAnsiTheme="majorHAnsi" w:cstheme="majorHAnsi"/>
          <w:lang w:val="en-GB"/>
        </w:rPr>
        <w:tab/>
      </w:r>
      <w:r w:rsidR="000A02EE" w:rsidRPr="00925091">
        <w:rPr>
          <w:rFonts w:asciiTheme="majorHAnsi" w:hAnsiTheme="majorHAnsi" w:cstheme="majorHAnsi"/>
          <w:lang w:val="en-GB"/>
        </w:rPr>
        <w:tab/>
      </w:r>
      <w:r w:rsidRPr="00925091">
        <w:rPr>
          <w:rFonts w:asciiTheme="majorHAnsi" w:hAnsiTheme="majorHAnsi" w:cstheme="majorHAnsi"/>
          <w:lang w:val="en-GB"/>
        </w:rPr>
        <w:t xml:space="preserve">number of sample PSUs selected in stratum </w:t>
      </w:r>
      <w:r w:rsidRPr="00925091">
        <w:rPr>
          <w:rFonts w:asciiTheme="majorHAnsi" w:hAnsiTheme="majorHAnsi" w:cstheme="majorHAnsi"/>
          <w:i/>
          <w:lang w:val="en-GB"/>
        </w:rPr>
        <w:t>h</w:t>
      </w:r>
    </w:p>
    <w:p w14:paraId="7FC514B8" w14:textId="77777777" w:rsidR="007B0AEA" w:rsidRPr="00925091" w:rsidRDefault="007B0AEA" w:rsidP="007B0AEA">
      <w:pPr>
        <w:pStyle w:val="NoSpacing"/>
        <w:spacing w:line="269" w:lineRule="auto"/>
        <w:ind w:left="360"/>
        <w:rPr>
          <w:rFonts w:asciiTheme="majorHAnsi" w:hAnsiTheme="majorHAnsi" w:cstheme="majorHAnsi"/>
          <w:i/>
          <w:lang w:val="en-GB"/>
        </w:rPr>
      </w:pPr>
      <w:r w:rsidRPr="00925091">
        <w:rPr>
          <w:rFonts w:asciiTheme="majorHAnsi" w:hAnsiTheme="majorHAnsi" w:cstheme="majorHAnsi"/>
          <w:i/>
          <w:lang w:val="en-GB"/>
        </w:rPr>
        <w:t>M</w:t>
      </w:r>
      <w:r w:rsidRPr="00925091">
        <w:rPr>
          <w:rFonts w:asciiTheme="majorHAnsi" w:hAnsiTheme="majorHAnsi" w:cstheme="majorHAnsi"/>
          <w:i/>
          <w:vertAlign w:val="subscript"/>
          <w:lang w:val="en-GB"/>
        </w:rPr>
        <w:t>hi</w:t>
      </w:r>
      <w:r w:rsidRPr="00925091">
        <w:rPr>
          <w:rFonts w:asciiTheme="majorHAnsi" w:hAnsiTheme="majorHAnsi" w:cstheme="majorHAnsi"/>
          <w:lang w:val="en-GB"/>
        </w:rPr>
        <w:t xml:space="preserve"> =</w:t>
      </w:r>
      <w:r w:rsidRPr="00925091">
        <w:rPr>
          <w:rFonts w:asciiTheme="majorHAnsi" w:hAnsiTheme="majorHAnsi" w:cstheme="majorHAnsi"/>
          <w:lang w:val="en-GB"/>
        </w:rPr>
        <w:tab/>
        <w:t xml:space="preserve">number of Roma households in the 2011 Census frame for the </w:t>
      </w:r>
      <w:r w:rsidRPr="00925091">
        <w:rPr>
          <w:rFonts w:asciiTheme="majorHAnsi" w:hAnsiTheme="majorHAnsi" w:cstheme="majorHAnsi"/>
          <w:i/>
          <w:lang w:val="en-GB"/>
        </w:rPr>
        <w:t>i</w:t>
      </w:r>
      <w:r w:rsidRPr="00925091">
        <w:rPr>
          <w:rFonts w:asciiTheme="majorHAnsi" w:hAnsiTheme="majorHAnsi" w:cstheme="majorHAnsi"/>
          <w:lang w:val="en-GB"/>
        </w:rPr>
        <w:t xml:space="preserve">-th sample PSU in stratum </w:t>
      </w:r>
      <w:r w:rsidRPr="00925091">
        <w:rPr>
          <w:rFonts w:asciiTheme="majorHAnsi" w:hAnsiTheme="majorHAnsi" w:cstheme="majorHAnsi"/>
          <w:i/>
          <w:lang w:val="en-GB"/>
        </w:rPr>
        <w:t>h</w:t>
      </w:r>
    </w:p>
    <w:p w14:paraId="46B8D506" w14:textId="77777777" w:rsidR="007B0AEA" w:rsidRPr="00925091" w:rsidRDefault="007B0AEA" w:rsidP="007B0AEA">
      <w:pPr>
        <w:pStyle w:val="NoSpacing"/>
        <w:spacing w:line="269" w:lineRule="auto"/>
        <w:ind w:left="360"/>
        <w:rPr>
          <w:rFonts w:asciiTheme="majorHAnsi" w:hAnsiTheme="majorHAnsi" w:cstheme="majorHAnsi"/>
          <w:i/>
          <w:lang w:val="en-GB"/>
        </w:rPr>
      </w:pPr>
      <w:r w:rsidRPr="00925091">
        <w:rPr>
          <w:rFonts w:asciiTheme="majorHAnsi" w:hAnsiTheme="majorHAnsi" w:cstheme="majorHAnsi"/>
          <w:i/>
          <w:lang w:val="en-GB"/>
        </w:rPr>
        <w:t>M</w:t>
      </w:r>
      <w:r w:rsidRPr="00925091">
        <w:rPr>
          <w:rFonts w:asciiTheme="majorHAnsi" w:hAnsiTheme="majorHAnsi" w:cstheme="majorHAnsi"/>
          <w:i/>
          <w:vertAlign w:val="subscript"/>
          <w:lang w:val="en-GB"/>
        </w:rPr>
        <w:t>h</w:t>
      </w:r>
      <w:r w:rsidRPr="00925091">
        <w:rPr>
          <w:rFonts w:asciiTheme="majorHAnsi" w:hAnsiTheme="majorHAnsi" w:cstheme="majorHAnsi"/>
          <w:lang w:val="en-GB"/>
        </w:rPr>
        <w:t xml:space="preserve"> =</w:t>
      </w:r>
      <w:r w:rsidRPr="00925091">
        <w:rPr>
          <w:rFonts w:asciiTheme="majorHAnsi" w:hAnsiTheme="majorHAnsi" w:cstheme="majorHAnsi"/>
          <w:lang w:val="en-GB"/>
        </w:rPr>
        <w:tab/>
        <w:t>total number of Roma households in the 2011</w:t>
      </w:r>
      <w:r w:rsidRPr="00925091">
        <w:rPr>
          <w:rFonts w:asciiTheme="majorHAnsi" w:hAnsiTheme="majorHAnsi" w:cstheme="majorHAnsi"/>
          <w:color w:val="FF0000"/>
          <w:lang w:val="en-GB"/>
        </w:rPr>
        <w:t xml:space="preserve"> </w:t>
      </w:r>
      <w:r w:rsidRPr="00925091">
        <w:rPr>
          <w:rFonts w:asciiTheme="majorHAnsi" w:hAnsiTheme="majorHAnsi" w:cstheme="majorHAnsi"/>
          <w:lang w:val="en-GB"/>
        </w:rPr>
        <w:t>Census frame for stratum</w:t>
      </w:r>
      <w:r w:rsidRPr="00925091">
        <w:rPr>
          <w:rFonts w:asciiTheme="majorHAnsi" w:hAnsiTheme="majorHAnsi" w:cstheme="majorHAnsi"/>
          <w:i/>
          <w:lang w:val="en-GB"/>
        </w:rPr>
        <w:t xml:space="preserve"> h</w:t>
      </w:r>
    </w:p>
    <w:p w14:paraId="6040163F" w14:textId="7781600A" w:rsidR="007B0AEA" w:rsidRPr="00925091" w:rsidRDefault="007B0AEA" w:rsidP="007B0AEA">
      <w:pPr>
        <w:pStyle w:val="ListParagraph"/>
        <w:spacing w:line="269" w:lineRule="auto"/>
        <w:ind w:left="360"/>
        <w:rPr>
          <w:rFonts w:asciiTheme="majorHAnsi" w:hAnsiTheme="majorHAnsi" w:cstheme="majorHAnsi"/>
          <w:lang w:val="en-GB"/>
        </w:rPr>
      </w:pPr>
      <w:r w:rsidRPr="00925091">
        <w:rPr>
          <w:rFonts w:asciiTheme="majorHAnsi" w:hAnsiTheme="majorHAnsi" w:cstheme="majorHAnsi"/>
          <w:i/>
          <w:lang w:val="en-GB"/>
        </w:rPr>
        <w:t>p</w:t>
      </w:r>
      <w:r w:rsidR="00377549" w:rsidRPr="00925091">
        <w:rPr>
          <w:rFonts w:asciiTheme="majorHAnsi" w:hAnsiTheme="majorHAnsi" w:cstheme="majorHAnsi"/>
          <w:vertAlign w:val="subscript"/>
          <w:lang w:val="en-GB"/>
        </w:rPr>
        <w:t>2</w:t>
      </w:r>
      <w:r w:rsidRPr="00925091">
        <w:rPr>
          <w:rFonts w:asciiTheme="majorHAnsi" w:hAnsiTheme="majorHAnsi" w:cstheme="majorHAnsi"/>
          <w:i/>
          <w:vertAlign w:val="subscript"/>
          <w:lang w:val="en-GB"/>
        </w:rPr>
        <w:t>hi</w:t>
      </w:r>
      <w:r w:rsidRPr="00925091">
        <w:rPr>
          <w:rFonts w:asciiTheme="majorHAnsi" w:hAnsiTheme="majorHAnsi" w:cstheme="majorHAnsi"/>
          <w:lang w:val="en-GB"/>
        </w:rPr>
        <w:t xml:space="preserve"> =</w:t>
      </w:r>
      <w:r w:rsidRPr="00925091">
        <w:rPr>
          <w:rFonts w:asciiTheme="majorHAnsi" w:hAnsiTheme="majorHAnsi" w:cstheme="majorHAnsi"/>
          <w:lang w:val="en-GB"/>
        </w:rPr>
        <w:tab/>
      </w:r>
      <w:r w:rsidR="0033107F" w:rsidRPr="0033107F">
        <w:rPr>
          <w:noProof/>
          <w:vertAlign w:val="subscript"/>
          <w:lang w:val="en-GB"/>
        </w:rPr>
        <w:object w:dxaOrig="560" w:dyaOrig="680" w14:anchorId="5EF28BA1">
          <v:shape id="_x0000_i1036" type="#_x0000_t75" alt="" style="width:30.75pt;height:37.5pt;mso-width-percent:0;mso-height-percent:0;mso-width-percent:0;mso-height-percent:0" o:ole="">
            <v:imagedata r:id="rId34" o:title=""/>
          </v:shape>
          <o:OLEObject Type="Embed" ProgID="Equation.3" ShapeID="_x0000_i1036" DrawAspect="Content" ObjectID="_1666521044" r:id="rId35"/>
        </w:object>
      </w:r>
    </w:p>
    <w:p w14:paraId="15A2595D" w14:textId="77777777" w:rsidR="007B0AEA" w:rsidRPr="00925091" w:rsidRDefault="007B0AEA" w:rsidP="007B0AEA">
      <w:pPr>
        <w:pStyle w:val="NoSpacing"/>
        <w:spacing w:line="269" w:lineRule="auto"/>
        <w:ind w:left="360"/>
        <w:rPr>
          <w:rFonts w:asciiTheme="majorHAnsi" w:hAnsiTheme="majorHAnsi" w:cstheme="majorHAnsi"/>
          <w:i/>
          <w:lang w:val="en-GB"/>
        </w:rPr>
      </w:pPr>
      <w:r w:rsidRPr="00925091">
        <w:rPr>
          <w:rFonts w:asciiTheme="majorHAnsi" w:hAnsiTheme="majorHAnsi" w:cstheme="majorHAnsi"/>
          <w:i/>
          <w:lang w:val="en-GB"/>
        </w:rPr>
        <w:t>M'</w:t>
      </w:r>
      <w:r w:rsidRPr="00925091">
        <w:rPr>
          <w:rFonts w:asciiTheme="majorHAnsi" w:hAnsiTheme="majorHAnsi" w:cstheme="majorHAnsi"/>
          <w:i/>
          <w:vertAlign w:val="subscript"/>
          <w:lang w:val="en-GB"/>
        </w:rPr>
        <w:t>hi</w:t>
      </w:r>
      <w:r w:rsidRPr="00925091">
        <w:rPr>
          <w:rFonts w:asciiTheme="majorHAnsi" w:hAnsiTheme="majorHAnsi" w:cstheme="majorHAnsi"/>
          <w:lang w:val="en-GB"/>
        </w:rPr>
        <w:t xml:space="preserve"> =</w:t>
      </w:r>
      <w:r w:rsidRPr="00925091">
        <w:rPr>
          <w:rFonts w:asciiTheme="majorHAnsi" w:hAnsiTheme="majorHAnsi" w:cstheme="majorHAnsi"/>
          <w:lang w:val="en-GB"/>
        </w:rPr>
        <w:tab/>
        <w:t xml:space="preserve">number of Roma households listed in the </w:t>
      </w:r>
      <w:r w:rsidRPr="00925091">
        <w:rPr>
          <w:rFonts w:asciiTheme="majorHAnsi" w:hAnsiTheme="majorHAnsi" w:cstheme="majorHAnsi"/>
          <w:i/>
          <w:lang w:val="en-GB"/>
        </w:rPr>
        <w:t>i</w:t>
      </w:r>
      <w:r w:rsidRPr="00925091">
        <w:rPr>
          <w:rFonts w:asciiTheme="majorHAnsi" w:hAnsiTheme="majorHAnsi" w:cstheme="majorHAnsi"/>
          <w:lang w:val="en-GB"/>
        </w:rPr>
        <w:t xml:space="preserve">-th sample PSU in stratum </w:t>
      </w:r>
      <w:r w:rsidRPr="00925091">
        <w:rPr>
          <w:rFonts w:asciiTheme="majorHAnsi" w:hAnsiTheme="majorHAnsi" w:cstheme="majorHAnsi"/>
          <w:i/>
          <w:lang w:val="en-GB"/>
        </w:rPr>
        <w:t>h</w:t>
      </w:r>
    </w:p>
    <w:p w14:paraId="104AFC89" w14:textId="77777777"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Since the number of Roma households in each enumeration area (PSU) from the 2011 Census frame used for the first stage selection and the updated number of Roma households in the EA from the listing are generally different, individual overall probabilities of selection for Roma households in each sample EA (cluster) were calculated. </w:t>
      </w:r>
    </w:p>
    <w:p w14:paraId="27C6CCA4" w14:textId="77777777"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A final component in the calculation of sample weights takes into account the level of non-response for the Roma household and individual interviews. The adjustment for Roma household non-response in each stratum is equal to:</w:t>
      </w:r>
    </w:p>
    <w:p w14:paraId="10A58440" w14:textId="77777777" w:rsidR="007B0AEA" w:rsidRPr="00925091" w:rsidRDefault="0033107F" w:rsidP="007B0AEA">
      <w:pPr>
        <w:pStyle w:val="ListParagraph"/>
        <w:spacing w:line="269" w:lineRule="auto"/>
        <w:ind w:left="360"/>
        <w:jc w:val="center"/>
        <w:rPr>
          <w:rFonts w:asciiTheme="majorHAnsi" w:hAnsiTheme="majorHAnsi" w:cstheme="majorHAnsi"/>
          <w:szCs w:val="22"/>
          <w:lang w:val="en-GB"/>
        </w:rPr>
      </w:pPr>
      <w:r w:rsidRPr="0033107F">
        <w:rPr>
          <w:noProof/>
          <w:vertAlign w:val="subscript"/>
          <w:lang w:val="en-GB"/>
        </w:rPr>
        <w:object w:dxaOrig="499" w:dyaOrig="680" w14:anchorId="2007F79B">
          <v:shape id="_x0000_i1037" type="#_x0000_t75" alt="" style="width:24.75pt;height:37.5pt;mso-width-percent:0;mso-height-percent:0;mso-width-percent:0;mso-height-percent:0" o:ole="">
            <v:imagedata r:id="rId18" o:title=""/>
          </v:shape>
          <o:OLEObject Type="Embed" ProgID="Equation.3" ShapeID="_x0000_i1037" DrawAspect="Content" ObjectID="_1666521045" r:id="rId36"/>
        </w:object>
      </w:r>
    </w:p>
    <w:p w14:paraId="38CF4878" w14:textId="77777777"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where </w:t>
      </w:r>
      <w:r w:rsidRPr="00925091">
        <w:rPr>
          <w:rFonts w:asciiTheme="majorHAnsi" w:hAnsiTheme="majorHAnsi" w:cstheme="majorHAnsi"/>
          <w:i/>
          <w:szCs w:val="22"/>
          <w:lang w:val="en-GB"/>
        </w:rPr>
        <w:t>RR</w:t>
      </w:r>
      <w:r w:rsidRPr="00925091">
        <w:rPr>
          <w:rFonts w:asciiTheme="majorHAnsi" w:hAnsiTheme="majorHAnsi" w:cstheme="majorHAnsi"/>
          <w:i/>
          <w:szCs w:val="22"/>
          <w:vertAlign w:val="subscript"/>
          <w:lang w:val="en-GB"/>
        </w:rPr>
        <w:t>h</w:t>
      </w:r>
      <w:r w:rsidRPr="00925091">
        <w:rPr>
          <w:rFonts w:asciiTheme="majorHAnsi" w:hAnsiTheme="majorHAnsi" w:cstheme="majorHAnsi"/>
          <w:szCs w:val="22"/>
          <w:lang w:val="en-GB"/>
        </w:rPr>
        <w:t xml:space="preserve"> is the response rate for the sample Roma households in stratum </w:t>
      </w:r>
      <w:r w:rsidRPr="00925091">
        <w:rPr>
          <w:rFonts w:asciiTheme="majorHAnsi" w:hAnsiTheme="majorHAnsi" w:cstheme="majorHAnsi"/>
          <w:i/>
          <w:szCs w:val="22"/>
          <w:lang w:val="en-GB"/>
        </w:rPr>
        <w:t>h</w:t>
      </w:r>
      <w:r w:rsidRPr="00925091">
        <w:rPr>
          <w:rFonts w:asciiTheme="majorHAnsi" w:hAnsiTheme="majorHAnsi" w:cstheme="majorHAnsi"/>
          <w:szCs w:val="22"/>
          <w:lang w:val="en-GB"/>
        </w:rPr>
        <w:t xml:space="preserve">, defined as the proportion of the number of interviewed Roma households in stratum </w:t>
      </w:r>
      <w:r w:rsidRPr="00925091">
        <w:rPr>
          <w:rFonts w:asciiTheme="majorHAnsi" w:hAnsiTheme="majorHAnsi" w:cstheme="majorHAnsi"/>
          <w:i/>
          <w:szCs w:val="22"/>
          <w:lang w:val="en-GB"/>
        </w:rPr>
        <w:t>h</w:t>
      </w:r>
      <w:r w:rsidRPr="00925091">
        <w:rPr>
          <w:rFonts w:asciiTheme="majorHAnsi" w:hAnsiTheme="majorHAnsi" w:cstheme="majorHAnsi"/>
          <w:szCs w:val="22"/>
          <w:lang w:val="en-GB"/>
        </w:rPr>
        <w:t xml:space="preserve"> out of the number of selected Roma households found to be occupied during the fieldwork in stratum </w:t>
      </w:r>
      <w:r w:rsidRPr="00925091">
        <w:rPr>
          <w:rFonts w:asciiTheme="majorHAnsi" w:hAnsiTheme="majorHAnsi" w:cstheme="majorHAnsi"/>
          <w:i/>
          <w:szCs w:val="22"/>
          <w:lang w:val="en-GB"/>
        </w:rPr>
        <w:t>h</w:t>
      </w:r>
      <w:r w:rsidRPr="00925091">
        <w:rPr>
          <w:rFonts w:asciiTheme="majorHAnsi" w:hAnsiTheme="majorHAnsi" w:cstheme="majorHAnsi"/>
          <w:szCs w:val="22"/>
          <w:lang w:val="en-GB"/>
        </w:rPr>
        <w:t>.</w:t>
      </w:r>
    </w:p>
    <w:p w14:paraId="031BE66F" w14:textId="170B9E4E"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Similarly, adjustment for non-response at the individual level (women and </w:t>
      </w:r>
      <w:r w:rsidR="00441F95" w:rsidRPr="00925091">
        <w:rPr>
          <w:rFonts w:asciiTheme="majorHAnsi" w:hAnsiTheme="majorHAnsi" w:cstheme="majorHAnsi"/>
          <w:szCs w:val="22"/>
          <w:lang w:val="en-GB"/>
        </w:rPr>
        <w:t xml:space="preserve">children </w:t>
      </w:r>
      <w:r w:rsidRPr="00925091">
        <w:rPr>
          <w:rFonts w:asciiTheme="majorHAnsi" w:hAnsiTheme="majorHAnsi" w:cstheme="majorHAnsi"/>
          <w:szCs w:val="22"/>
          <w:lang w:val="en-GB"/>
        </w:rPr>
        <w:t>under</w:t>
      </w:r>
      <w:r w:rsidR="00441F95">
        <w:rPr>
          <w:rFonts w:asciiTheme="majorHAnsi" w:hAnsiTheme="majorHAnsi" w:cstheme="majorHAnsi"/>
          <w:szCs w:val="22"/>
          <w:lang w:val="en-GB"/>
        </w:rPr>
        <w:t xml:space="preserve"> five</w:t>
      </w:r>
      <w:r w:rsidRPr="00925091">
        <w:rPr>
          <w:rFonts w:asciiTheme="majorHAnsi" w:hAnsiTheme="majorHAnsi" w:cstheme="majorHAnsi"/>
          <w:szCs w:val="22"/>
          <w:lang w:val="en-GB"/>
        </w:rPr>
        <w:t>) for each stratum is equal to:</w:t>
      </w:r>
    </w:p>
    <w:p w14:paraId="6063E4B3" w14:textId="77777777" w:rsidR="007B0AEA" w:rsidRPr="00925091" w:rsidRDefault="0033107F" w:rsidP="007B0AEA">
      <w:pPr>
        <w:pStyle w:val="ListParagraph"/>
        <w:spacing w:line="269" w:lineRule="auto"/>
        <w:ind w:left="360"/>
        <w:jc w:val="center"/>
        <w:rPr>
          <w:rFonts w:asciiTheme="majorHAnsi" w:hAnsiTheme="majorHAnsi" w:cstheme="majorHAnsi"/>
          <w:szCs w:val="22"/>
          <w:lang w:val="en-GB"/>
        </w:rPr>
      </w:pPr>
      <w:r w:rsidRPr="0033107F">
        <w:rPr>
          <w:noProof/>
          <w:vertAlign w:val="subscript"/>
          <w:lang w:val="en-GB"/>
        </w:rPr>
        <w:object w:dxaOrig="580" w:dyaOrig="700" w14:anchorId="27FE79E6">
          <v:shape id="_x0000_i1038" type="#_x0000_t75" alt="" style="width:30.75pt;height:36.75pt;mso-width-percent:0;mso-height-percent:0;mso-width-percent:0;mso-height-percent:0" o:ole="">
            <v:imagedata r:id="rId20" o:title=""/>
          </v:shape>
          <o:OLEObject Type="Embed" ProgID="Equation.3" ShapeID="_x0000_i1038" DrawAspect="Content" ObjectID="_1666521046" r:id="rId37"/>
        </w:object>
      </w:r>
    </w:p>
    <w:p w14:paraId="73497F98" w14:textId="1FE95D74"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 xml:space="preserve">where </w:t>
      </w:r>
      <w:r w:rsidRPr="00925091">
        <w:rPr>
          <w:rFonts w:asciiTheme="majorHAnsi" w:hAnsiTheme="majorHAnsi" w:cstheme="majorHAnsi"/>
          <w:i/>
          <w:szCs w:val="22"/>
          <w:lang w:val="en-GB"/>
        </w:rPr>
        <w:t>RR</w:t>
      </w:r>
      <w:r w:rsidRPr="00925091">
        <w:rPr>
          <w:rFonts w:asciiTheme="majorHAnsi" w:hAnsiTheme="majorHAnsi" w:cstheme="majorHAnsi"/>
          <w:i/>
          <w:szCs w:val="22"/>
          <w:vertAlign w:val="subscript"/>
          <w:lang w:val="en-GB"/>
        </w:rPr>
        <w:t>qh</w:t>
      </w:r>
      <w:r w:rsidRPr="00925091">
        <w:rPr>
          <w:rFonts w:asciiTheme="majorHAnsi" w:hAnsiTheme="majorHAnsi" w:cstheme="majorHAnsi"/>
          <w:szCs w:val="22"/>
          <w:lang w:val="en-GB"/>
        </w:rPr>
        <w:t xml:space="preserve"> is the response rate for the individual questionnaires in stratum </w:t>
      </w:r>
      <w:r w:rsidRPr="00925091">
        <w:rPr>
          <w:rFonts w:asciiTheme="majorHAnsi" w:hAnsiTheme="majorHAnsi" w:cstheme="majorHAnsi"/>
          <w:i/>
          <w:szCs w:val="22"/>
          <w:lang w:val="en-GB"/>
        </w:rPr>
        <w:t>h</w:t>
      </w:r>
      <w:r w:rsidRPr="00925091">
        <w:rPr>
          <w:rFonts w:asciiTheme="majorHAnsi" w:hAnsiTheme="majorHAnsi" w:cstheme="majorHAnsi"/>
          <w:szCs w:val="22"/>
          <w:lang w:val="en-GB"/>
        </w:rPr>
        <w:t xml:space="preserve">, defined as the proportion of eligible individuals (women and </w:t>
      </w:r>
      <w:r w:rsidR="00441F95" w:rsidRPr="00925091">
        <w:rPr>
          <w:rFonts w:asciiTheme="majorHAnsi" w:hAnsiTheme="majorHAnsi" w:cstheme="majorHAnsi"/>
          <w:szCs w:val="22"/>
          <w:lang w:val="en-GB"/>
        </w:rPr>
        <w:t xml:space="preserve">children </w:t>
      </w:r>
      <w:r w:rsidRPr="00925091">
        <w:rPr>
          <w:rFonts w:asciiTheme="majorHAnsi" w:hAnsiTheme="majorHAnsi" w:cstheme="majorHAnsi"/>
          <w:szCs w:val="22"/>
          <w:lang w:val="en-GB"/>
        </w:rPr>
        <w:t>under</w:t>
      </w:r>
      <w:r w:rsidR="00441F95">
        <w:rPr>
          <w:rFonts w:asciiTheme="majorHAnsi" w:hAnsiTheme="majorHAnsi" w:cstheme="majorHAnsi"/>
          <w:szCs w:val="22"/>
          <w:lang w:val="en-GB"/>
        </w:rPr>
        <w:t xml:space="preserve"> five</w:t>
      </w:r>
      <w:r w:rsidRPr="00925091">
        <w:rPr>
          <w:rFonts w:asciiTheme="majorHAnsi" w:hAnsiTheme="majorHAnsi" w:cstheme="majorHAnsi"/>
          <w:szCs w:val="22"/>
          <w:lang w:val="en-GB"/>
        </w:rPr>
        <w:t xml:space="preserve">) in the sample Roma households in stratum </w:t>
      </w:r>
      <w:r w:rsidRPr="00925091">
        <w:rPr>
          <w:rFonts w:asciiTheme="majorHAnsi" w:hAnsiTheme="majorHAnsi" w:cstheme="majorHAnsi"/>
          <w:i/>
          <w:szCs w:val="22"/>
          <w:lang w:val="en-GB"/>
        </w:rPr>
        <w:t>h</w:t>
      </w:r>
      <w:r w:rsidRPr="00925091">
        <w:rPr>
          <w:rFonts w:asciiTheme="majorHAnsi" w:hAnsiTheme="majorHAnsi" w:cstheme="majorHAnsi"/>
          <w:szCs w:val="22"/>
          <w:lang w:val="en-GB"/>
        </w:rPr>
        <w:t xml:space="preserve"> who were successfully interviewed.</w:t>
      </w:r>
    </w:p>
    <w:p w14:paraId="65B0CF85" w14:textId="17A50626"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After the completion of fieldwork, response rates were calculated for each sampling stratum. These were used to adjust the sample weights calculated for each cluster. Response rates in the 2019 Serbia Roma Settlements MICS are shown in Table SR.1.1R in this report.</w:t>
      </w:r>
    </w:p>
    <w:p w14:paraId="4B161155" w14:textId="286EE22A" w:rsidR="007B0AEA" w:rsidRPr="00925091" w:rsidRDefault="007B0AEA" w:rsidP="000A02EE">
      <w:pPr>
        <w:rPr>
          <w:rFonts w:asciiTheme="majorHAnsi" w:hAnsiTheme="majorHAnsi" w:cstheme="majorHAnsi"/>
          <w:szCs w:val="22"/>
          <w:lang w:val="en-GB"/>
        </w:rPr>
      </w:pPr>
      <w:r w:rsidRPr="00925091">
        <w:rPr>
          <w:rFonts w:asciiTheme="majorHAnsi" w:hAnsiTheme="majorHAnsi" w:cstheme="majorHAnsi"/>
          <w:szCs w:val="22"/>
          <w:lang w:val="en-GB"/>
        </w:rPr>
        <w:t>The non-response adjustment factors for the individual women and under-</w:t>
      </w:r>
      <w:r w:rsidR="00441F95">
        <w:rPr>
          <w:rFonts w:asciiTheme="majorHAnsi" w:hAnsiTheme="majorHAnsi" w:cstheme="majorHAnsi"/>
          <w:szCs w:val="22"/>
          <w:lang w:val="en-GB"/>
        </w:rPr>
        <w:t>five</w:t>
      </w:r>
      <w:r w:rsidR="00441F95" w:rsidRPr="00925091">
        <w:rPr>
          <w:rFonts w:asciiTheme="majorHAnsi" w:hAnsiTheme="majorHAnsi" w:cstheme="majorHAnsi"/>
          <w:szCs w:val="22"/>
          <w:lang w:val="en-GB"/>
        </w:rPr>
        <w:t xml:space="preserve"> </w:t>
      </w:r>
      <w:r w:rsidRPr="00925091">
        <w:rPr>
          <w:rFonts w:asciiTheme="majorHAnsi" w:hAnsiTheme="majorHAnsi" w:cstheme="majorHAnsi"/>
          <w:szCs w:val="22"/>
          <w:lang w:val="en-GB"/>
        </w:rPr>
        <w:t xml:space="preserve">questionnaires were applied to the adjusted household weights. Numbers of eligible women and </w:t>
      </w:r>
      <w:r w:rsidR="00441F95" w:rsidRPr="00925091">
        <w:rPr>
          <w:rFonts w:asciiTheme="majorHAnsi" w:hAnsiTheme="majorHAnsi" w:cstheme="majorHAnsi"/>
          <w:szCs w:val="22"/>
          <w:lang w:val="en-GB"/>
        </w:rPr>
        <w:t xml:space="preserve">children </w:t>
      </w:r>
      <w:r w:rsidRPr="00925091">
        <w:rPr>
          <w:rFonts w:asciiTheme="majorHAnsi" w:hAnsiTheme="majorHAnsi" w:cstheme="majorHAnsi"/>
          <w:szCs w:val="22"/>
          <w:lang w:val="en-GB"/>
        </w:rPr>
        <w:t>under</w:t>
      </w:r>
      <w:r w:rsidR="00441F95">
        <w:rPr>
          <w:rFonts w:asciiTheme="majorHAnsi" w:hAnsiTheme="majorHAnsi" w:cstheme="majorHAnsi"/>
          <w:szCs w:val="22"/>
          <w:lang w:val="en-GB"/>
        </w:rPr>
        <w:t xml:space="preserve"> five</w:t>
      </w:r>
      <w:r w:rsidRPr="00925091">
        <w:rPr>
          <w:rFonts w:asciiTheme="majorHAnsi" w:hAnsiTheme="majorHAnsi" w:cstheme="majorHAnsi"/>
          <w:szCs w:val="22"/>
          <w:lang w:val="en-GB"/>
        </w:rPr>
        <w:t xml:space="preserve"> were obtained from the list of household members in the Household Questionnaire for households where interviews were completed.</w:t>
      </w:r>
    </w:p>
    <w:p w14:paraId="28A3D8ED" w14:textId="138E2A98" w:rsidR="007B0AEA" w:rsidRPr="00925091" w:rsidRDefault="007B0AEA" w:rsidP="000A02EE">
      <w:pPr>
        <w:pStyle w:val="NoSpacing"/>
        <w:spacing w:after="200" w:line="276" w:lineRule="auto"/>
        <w:rPr>
          <w:rFonts w:asciiTheme="majorHAnsi" w:hAnsiTheme="majorHAnsi" w:cstheme="majorHAnsi"/>
          <w:szCs w:val="22"/>
          <w:lang w:val="en-GB"/>
        </w:rPr>
      </w:pPr>
      <w:r w:rsidRPr="00925091">
        <w:rPr>
          <w:rFonts w:asciiTheme="majorHAnsi" w:hAnsiTheme="majorHAnsi" w:cstheme="majorHAnsi"/>
          <w:szCs w:val="22"/>
          <w:lang w:val="en-GB"/>
        </w:rPr>
        <w:lastRenderedPageBreak/>
        <w:t xml:space="preserve">In the case of the questionnaire for </w:t>
      </w:r>
      <w:r w:rsidR="0078498B">
        <w:rPr>
          <w:rFonts w:asciiTheme="majorHAnsi" w:hAnsiTheme="majorHAnsi" w:cstheme="majorHAnsi"/>
          <w:szCs w:val="22"/>
          <w:lang w:val="en-GB"/>
        </w:rPr>
        <w:t>children aged</w:t>
      </w:r>
      <w:r w:rsidRPr="00925091">
        <w:rPr>
          <w:rFonts w:asciiTheme="majorHAnsi" w:hAnsiTheme="majorHAnsi" w:cstheme="majorHAnsi"/>
          <w:szCs w:val="22"/>
          <w:lang w:val="en-GB"/>
        </w:rPr>
        <w:t xml:space="preserve"> </w:t>
      </w:r>
      <w:r w:rsidR="00B028AA" w:rsidRPr="00925091">
        <w:rPr>
          <w:rFonts w:asciiTheme="majorHAnsi" w:hAnsiTheme="majorHAnsi" w:cstheme="majorHAnsi"/>
          <w:szCs w:val="22"/>
          <w:lang w:val="en-GB"/>
        </w:rPr>
        <w:t>5–1</w:t>
      </w:r>
      <w:r w:rsidRPr="00925091">
        <w:rPr>
          <w:rFonts w:asciiTheme="majorHAnsi" w:hAnsiTheme="majorHAnsi" w:cstheme="majorHAnsi"/>
          <w:szCs w:val="22"/>
          <w:lang w:val="en-GB"/>
        </w:rPr>
        <w:t xml:space="preserve">7 years, in each sample household, one child was randomly selected from all the children in this age group recorded in the list of household members. The household weight for the </w:t>
      </w:r>
      <w:r w:rsidR="0078498B">
        <w:rPr>
          <w:rFonts w:asciiTheme="majorHAnsi" w:hAnsiTheme="majorHAnsi" w:cstheme="majorHAnsi"/>
          <w:szCs w:val="22"/>
          <w:lang w:val="en-GB"/>
        </w:rPr>
        <w:t>children aged</w:t>
      </w:r>
      <w:r w:rsidRPr="00925091">
        <w:rPr>
          <w:rFonts w:asciiTheme="majorHAnsi" w:hAnsiTheme="majorHAnsi" w:cstheme="majorHAnsi"/>
          <w:szCs w:val="22"/>
          <w:lang w:val="en-GB"/>
        </w:rPr>
        <w:t xml:space="preserve"> </w:t>
      </w:r>
      <w:r w:rsidR="00B028AA" w:rsidRPr="00925091">
        <w:rPr>
          <w:rFonts w:asciiTheme="majorHAnsi" w:hAnsiTheme="majorHAnsi" w:cstheme="majorHAnsi"/>
          <w:szCs w:val="22"/>
          <w:lang w:val="en-GB"/>
        </w:rPr>
        <w:t>5–1</w:t>
      </w:r>
      <w:r w:rsidRPr="00925091">
        <w:rPr>
          <w:rFonts w:asciiTheme="majorHAnsi" w:hAnsiTheme="majorHAnsi" w:cstheme="majorHAnsi"/>
          <w:szCs w:val="22"/>
          <w:lang w:val="en-GB"/>
        </w:rPr>
        <w:t>7 years is first adjusted based on the response rate for this questionnaire at the stratum level. Once this adjusted household weight is normal</w:t>
      </w:r>
      <w:r w:rsidR="00707BD1">
        <w:rPr>
          <w:rFonts w:asciiTheme="majorHAnsi" w:hAnsiTheme="majorHAnsi" w:cstheme="majorHAnsi"/>
          <w:szCs w:val="22"/>
          <w:lang w:val="en-GB"/>
        </w:rPr>
        <w:t>ize</w:t>
      </w:r>
      <w:r w:rsidRPr="00925091">
        <w:rPr>
          <w:rFonts w:asciiTheme="majorHAnsi" w:hAnsiTheme="majorHAnsi" w:cstheme="majorHAnsi"/>
          <w:szCs w:val="22"/>
          <w:lang w:val="en-GB"/>
        </w:rPr>
        <w:t xml:space="preserve">d as described below, it is multiplied by the number of </w:t>
      </w:r>
      <w:r w:rsidR="0078498B">
        <w:rPr>
          <w:rFonts w:asciiTheme="majorHAnsi" w:hAnsiTheme="majorHAnsi" w:cstheme="majorHAnsi"/>
          <w:szCs w:val="22"/>
          <w:lang w:val="en-GB"/>
        </w:rPr>
        <w:t>children aged</w:t>
      </w:r>
      <w:r w:rsidRPr="00925091">
        <w:rPr>
          <w:rFonts w:asciiTheme="majorHAnsi" w:hAnsiTheme="majorHAnsi" w:cstheme="majorHAnsi"/>
          <w:szCs w:val="22"/>
          <w:lang w:val="en-GB"/>
        </w:rPr>
        <w:t xml:space="preserve"> </w:t>
      </w:r>
      <w:r w:rsidR="00B028AA" w:rsidRPr="00925091">
        <w:rPr>
          <w:rFonts w:asciiTheme="majorHAnsi" w:hAnsiTheme="majorHAnsi" w:cstheme="majorHAnsi"/>
          <w:szCs w:val="22"/>
          <w:lang w:val="en-GB"/>
        </w:rPr>
        <w:t>5–1</w:t>
      </w:r>
      <w:r w:rsidRPr="00925091">
        <w:rPr>
          <w:rFonts w:asciiTheme="majorHAnsi" w:hAnsiTheme="majorHAnsi" w:cstheme="majorHAnsi"/>
          <w:szCs w:val="22"/>
          <w:lang w:val="en-GB"/>
        </w:rPr>
        <w:t xml:space="preserve">7 years recorded in the list of household members. Therefore, the weights for individual </w:t>
      </w:r>
      <w:r w:rsidR="0078498B">
        <w:rPr>
          <w:rFonts w:asciiTheme="majorHAnsi" w:hAnsiTheme="majorHAnsi" w:cstheme="majorHAnsi"/>
          <w:szCs w:val="22"/>
          <w:lang w:val="en-GB"/>
        </w:rPr>
        <w:t>children aged</w:t>
      </w:r>
      <w:r w:rsidRPr="00925091">
        <w:rPr>
          <w:rFonts w:asciiTheme="majorHAnsi" w:hAnsiTheme="majorHAnsi" w:cstheme="majorHAnsi"/>
          <w:szCs w:val="22"/>
          <w:lang w:val="en-GB"/>
        </w:rPr>
        <w:t xml:space="preserve"> </w:t>
      </w:r>
      <w:r w:rsidR="00B028AA" w:rsidRPr="00925091">
        <w:rPr>
          <w:rFonts w:asciiTheme="majorHAnsi" w:hAnsiTheme="majorHAnsi" w:cstheme="majorHAnsi"/>
          <w:szCs w:val="22"/>
          <w:lang w:val="en-GB"/>
        </w:rPr>
        <w:t>5–1</w:t>
      </w:r>
      <w:r w:rsidRPr="00925091">
        <w:rPr>
          <w:rFonts w:asciiTheme="majorHAnsi" w:hAnsiTheme="majorHAnsi" w:cstheme="majorHAnsi"/>
          <w:szCs w:val="22"/>
          <w:lang w:val="en-GB"/>
        </w:rPr>
        <w:t xml:space="preserve">7 years will vary by sample household. This weighting of the data for </w:t>
      </w:r>
      <w:r w:rsidR="0078498B">
        <w:rPr>
          <w:rFonts w:asciiTheme="majorHAnsi" w:hAnsiTheme="majorHAnsi" w:cstheme="majorHAnsi"/>
          <w:szCs w:val="22"/>
          <w:lang w:val="en-GB"/>
        </w:rPr>
        <w:t>children aged</w:t>
      </w:r>
      <w:r w:rsidRPr="00925091">
        <w:rPr>
          <w:rFonts w:asciiTheme="majorHAnsi" w:hAnsiTheme="majorHAnsi" w:cstheme="majorHAnsi"/>
          <w:szCs w:val="22"/>
          <w:lang w:val="en-GB"/>
        </w:rPr>
        <w:t xml:space="preserve"> </w:t>
      </w:r>
      <w:r w:rsidR="00B028AA" w:rsidRPr="00925091">
        <w:rPr>
          <w:rFonts w:asciiTheme="majorHAnsi" w:hAnsiTheme="majorHAnsi" w:cstheme="majorHAnsi"/>
          <w:szCs w:val="22"/>
          <w:lang w:val="en-GB"/>
        </w:rPr>
        <w:t>5–1</w:t>
      </w:r>
      <w:r w:rsidRPr="00925091">
        <w:rPr>
          <w:rFonts w:asciiTheme="majorHAnsi" w:hAnsiTheme="majorHAnsi" w:cstheme="majorHAnsi"/>
          <w:szCs w:val="22"/>
          <w:lang w:val="en-GB"/>
        </w:rPr>
        <w:t xml:space="preserve">7 years is implemented in the tabulation programmes for the corresponding tables. </w:t>
      </w:r>
    </w:p>
    <w:p w14:paraId="30C5B6EB" w14:textId="051120DC" w:rsidR="007B0AEA" w:rsidRPr="00925091" w:rsidRDefault="007B0AEA" w:rsidP="000A02EE">
      <w:pPr>
        <w:rPr>
          <w:rFonts w:asciiTheme="majorHAnsi" w:hAnsiTheme="majorHAnsi" w:cstheme="majorHAnsi"/>
          <w:lang w:val="en-GB"/>
        </w:rPr>
      </w:pPr>
      <w:r w:rsidRPr="00925091">
        <w:rPr>
          <w:rFonts w:asciiTheme="majorHAnsi" w:hAnsiTheme="majorHAnsi" w:cstheme="majorHAnsi"/>
          <w:lang w:val="en-GB"/>
        </w:rPr>
        <w:t xml:space="preserve">The </w:t>
      </w:r>
      <w:r w:rsidRPr="00925091">
        <w:rPr>
          <w:rFonts w:asciiTheme="majorHAnsi" w:hAnsiTheme="majorHAnsi" w:cstheme="majorHAnsi"/>
          <w:szCs w:val="22"/>
          <w:lang w:val="en-GB"/>
        </w:rPr>
        <w:t xml:space="preserve">2019 Serbia Roma Settlements </w:t>
      </w:r>
      <w:r w:rsidRPr="00925091">
        <w:rPr>
          <w:rFonts w:asciiTheme="majorHAnsi" w:hAnsiTheme="majorHAnsi" w:cstheme="majorHAnsi"/>
          <w:lang w:val="en-GB"/>
        </w:rPr>
        <w:t>MICS full (raw) weights for the Roma households were calculated by multiplying the inverse of the probabilities of selection by the non-response adjustment factor for each stratum. These weights were then standard</w:t>
      </w:r>
      <w:r w:rsidR="00707BD1">
        <w:rPr>
          <w:rFonts w:asciiTheme="majorHAnsi" w:hAnsiTheme="majorHAnsi" w:cstheme="majorHAnsi"/>
          <w:lang w:val="en-GB"/>
        </w:rPr>
        <w:t>ize</w:t>
      </w:r>
      <w:r w:rsidRPr="00925091">
        <w:rPr>
          <w:rFonts w:asciiTheme="majorHAnsi" w:hAnsiTheme="majorHAnsi" w:cstheme="majorHAnsi"/>
          <w:lang w:val="en-GB"/>
        </w:rPr>
        <w:t>d (or normal</w:t>
      </w:r>
      <w:r w:rsidR="00707BD1">
        <w:rPr>
          <w:rFonts w:asciiTheme="majorHAnsi" w:hAnsiTheme="majorHAnsi" w:cstheme="majorHAnsi"/>
          <w:lang w:val="en-GB"/>
        </w:rPr>
        <w:t>ized</w:t>
      </w:r>
      <w:r w:rsidRPr="00925091">
        <w:rPr>
          <w:rFonts w:asciiTheme="majorHAnsi" w:hAnsiTheme="majorHAnsi" w:cstheme="majorHAnsi"/>
          <w:lang w:val="en-GB"/>
        </w:rPr>
        <w:t xml:space="preserve">), one purpose of which is to make the weighted sum of the interviewed sample units equal to the total sample size at the national level. </w:t>
      </w:r>
      <w:r w:rsidR="00441F95" w:rsidRPr="00925091">
        <w:rPr>
          <w:rFonts w:asciiTheme="majorHAnsi" w:hAnsiTheme="majorHAnsi" w:cstheme="majorHAnsi"/>
          <w:lang w:val="en-GB"/>
        </w:rPr>
        <w:t>Normali</w:t>
      </w:r>
      <w:r w:rsidR="00441F95">
        <w:rPr>
          <w:rFonts w:asciiTheme="majorHAnsi" w:hAnsiTheme="majorHAnsi" w:cstheme="majorHAnsi"/>
          <w:lang w:val="en-GB"/>
        </w:rPr>
        <w:t>z</w:t>
      </w:r>
      <w:r w:rsidR="00441F95" w:rsidRPr="00925091">
        <w:rPr>
          <w:rFonts w:asciiTheme="majorHAnsi" w:hAnsiTheme="majorHAnsi" w:cstheme="majorHAnsi"/>
          <w:lang w:val="en-GB"/>
        </w:rPr>
        <w:t xml:space="preserve">ation </w:t>
      </w:r>
      <w:r w:rsidRPr="00925091">
        <w:rPr>
          <w:rFonts w:asciiTheme="majorHAnsi" w:hAnsiTheme="majorHAnsi" w:cstheme="majorHAnsi"/>
          <w:lang w:val="en-GB"/>
        </w:rPr>
        <w:t xml:space="preserve">is achieved by dividing the full sample weights (adjusted for nonresponse) by the average of these weights across all households at the national level. This is performed by multiplying the sample weights by a constant factor equal to the unweighted number of households at the national level divided by the weighted total number of households (using the full sample weights adjusted for non-response). A similar </w:t>
      </w:r>
      <w:r w:rsidR="00441F95" w:rsidRPr="00925091">
        <w:rPr>
          <w:rFonts w:asciiTheme="majorHAnsi" w:hAnsiTheme="majorHAnsi" w:cstheme="majorHAnsi"/>
          <w:lang w:val="en-GB"/>
        </w:rPr>
        <w:t>standardi</w:t>
      </w:r>
      <w:r w:rsidR="00441F95">
        <w:rPr>
          <w:rFonts w:asciiTheme="majorHAnsi" w:hAnsiTheme="majorHAnsi" w:cstheme="majorHAnsi"/>
          <w:lang w:val="en-GB"/>
        </w:rPr>
        <w:t>z</w:t>
      </w:r>
      <w:r w:rsidR="00441F95" w:rsidRPr="00925091">
        <w:rPr>
          <w:rFonts w:asciiTheme="majorHAnsi" w:hAnsiTheme="majorHAnsi" w:cstheme="majorHAnsi"/>
          <w:lang w:val="en-GB"/>
        </w:rPr>
        <w:t xml:space="preserve">ation </w:t>
      </w:r>
      <w:r w:rsidRPr="00925091">
        <w:rPr>
          <w:rFonts w:asciiTheme="majorHAnsi" w:hAnsiTheme="majorHAnsi" w:cstheme="majorHAnsi"/>
          <w:lang w:val="en-GB"/>
        </w:rPr>
        <w:t>procedure was followed in obtaining standard</w:t>
      </w:r>
      <w:r w:rsidR="00707BD1">
        <w:rPr>
          <w:rFonts w:asciiTheme="majorHAnsi" w:hAnsiTheme="majorHAnsi" w:cstheme="majorHAnsi"/>
          <w:lang w:val="en-GB"/>
        </w:rPr>
        <w:t>ized</w:t>
      </w:r>
      <w:r w:rsidRPr="00925091">
        <w:rPr>
          <w:rFonts w:asciiTheme="majorHAnsi" w:hAnsiTheme="majorHAnsi" w:cstheme="majorHAnsi"/>
          <w:lang w:val="en-GB"/>
        </w:rPr>
        <w:t xml:space="preserve"> weights for the individual women and under-</w:t>
      </w:r>
      <w:r w:rsidR="00441F95">
        <w:rPr>
          <w:rFonts w:asciiTheme="majorHAnsi" w:hAnsiTheme="majorHAnsi" w:cstheme="majorHAnsi"/>
          <w:lang w:val="en-GB"/>
        </w:rPr>
        <w:t>five</w:t>
      </w:r>
      <w:r w:rsidR="00441F95" w:rsidRPr="00925091">
        <w:rPr>
          <w:rFonts w:asciiTheme="majorHAnsi" w:hAnsiTheme="majorHAnsi" w:cstheme="majorHAnsi"/>
          <w:lang w:val="en-GB"/>
        </w:rPr>
        <w:t xml:space="preserve"> </w:t>
      </w:r>
      <w:r w:rsidRPr="00925091">
        <w:rPr>
          <w:rFonts w:asciiTheme="majorHAnsi" w:hAnsiTheme="majorHAnsi" w:cstheme="majorHAnsi"/>
          <w:lang w:val="en-GB"/>
        </w:rPr>
        <w:t>questionnaires. Adjusted (normal</w:t>
      </w:r>
      <w:r w:rsidR="00707BD1">
        <w:rPr>
          <w:rFonts w:asciiTheme="majorHAnsi" w:hAnsiTheme="majorHAnsi" w:cstheme="majorHAnsi"/>
          <w:lang w:val="en-GB"/>
        </w:rPr>
        <w:t>ized</w:t>
      </w:r>
      <w:r w:rsidRPr="00925091">
        <w:rPr>
          <w:rFonts w:asciiTheme="majorHAnsi" w:hAnsiTheme="majorHAnsi" w:cstheme="majorHAnsi"/>
          <w:lang w:val="en-GB"/>
        </w:rPr>
        <w:t>) household weights varied between 0.36 and 3.07 in the 99</w:t>
      </w:r>
      <w:r w:rsidRPr="00925091">
        <w:rPr>
          <w:rFonts w:asciiTheme="majorHAnsi" w:hAnsiTheme="majorHAnsi" w:cstheme="majorHAnsi"/>
          <w:color w:val="FF0000"/>
          <w:lang w:val="en-GB"/>
        </w:rPr>
        <w:t xml:space="preserve"> </w:t>
      </w:r>
      <w:r w:rsidRPr="00925091">
        <w:rPr>
          <w:rFonts w:asciiTheme="majorHAnsi" w:hAnsiTheme="majorHAnsi" w:cstheme="majorHAnsi"/>
          <w:lang w:val="en-GB"/>
        </w:rPr>
        <w:t xml:space="preserve">sample </w:t>
      </w:r>
      <w:r w:rsidR="00F94FB6" w:rsidRPr="00925091">
        <w:rPr>
          <w:rFonts w:asciiTheme="majorHAnsi" w:hAnsiTheme="majorHAnsi" w:cstheme="majorHAnsi"/>
          <w:lang w:val="en-GB"/>
        </w:rPr>
        <w:t xml:space="preserve">Roma </w:t>
      </w:r>
      <w:r w:rsidR="00441F95">
        <w:rPr>
          <w:rFonts w:asciiTheme="majorHAnsi" w:hAnsiTheme="majorHAnsi" w:cstheme="majorHAnsi"/>
          <w:lang w:val="en-GB"/>
        </w:rPr>
        <w:t>EAs</w:t>
      </w:r>
      <w:r w:rsidRPr="00925091">
        <w:rPr>
          <w:rFonts w:asciiTheme="majorHAnsi" w:hAnsiTheme="majorHAnsi" w:cstheme="majorHAnsi"/>
          <w:lang w:val="en-GB"/>
        </w:rPr>
        <w:t xml:space="preserve"> (clusters).</w:t>
      </w:r>
    </w:p>
    <w:p w14:paraId="4CEB5C76" w14:textId="1A03FC01" w:rsidR="007B0AEA" w:rsidRPr="00925091" w:rsidRDefault="00942E3E" w:rsidP="000A02EE">
      <w:pPr>
        <w:rPr>
          <w:rFonts w:asciiTheme="majorHAnsi" w:hAnsiTheme="majorHAnsi" w:cstheme="majorHAnsi"/>
          <w:lang w:val="en-GB"/>
        </w:rPr>
      </w:pPr>
      <w:r w:rsidRPr="00942E3E">
        <w:rPr>
          <w:rFonts w:ascii="Calibri Light" w:hAnsi="Calibri Light" w:cs="Calibri Light"/>
          <w:lang w:val="sr-Latn-RS"/>
        </w:rPr>
        <w:t>Sample weights were appended to all data sets and analyses were performed by weighting the data for households, women, under-fives and 5–17-year olds with these sample weights.</w:t>
      </w:r>
    </w:p>
    <w:p w14:paraId="356C22C3" w14:textId="77777777" w:rsidR="007B0AEA" w:rsidRPr="00925091" w:rsidRDefault="007B0AEA" w:rsidP="007B0AEA">
      <w:pPr>
        <w:rPr>
          <w:rFonts w:asciiTheme="majorHAnsi" w:hAnsiTheme="majorHAnsi" w:cstheme="majorHAnsi"/>
          <w:lang w:val="en-GB"/>
        </w:rPr>
      </w:pPr>
    </w:p>
    <w:p w14:paraId="107E6D95" w14:textId="77777777" w:rsidR="007B0AEA" w:rsidRPr="00925091" w:rsidRDefault="007B0AEA" w:rsidP="007B0AEA">
      <w:pPr>
        <w:rPr>
          <w:rFonts w:asciiTheme="majorHAnsi" w:hAnsiTheme="majorHAnsi" w:cstheme="majorHAnsi"/>
          <w:bCs/>
          <w:smallCaps/>
          <w:kern w:val="32"/>
          <w:szCs w:val="22"/>
          <w:lang w:val="en-GB"/>
        </w:rPr>
      </w:pPr>
    </w:p>
    <w:p w14:paraId="7F1128BB" w14:textId="77777777" w:rsidR="00E25A8C" w:rsidRPr="00925091" w:rsidRDefault="00E25A8C" w:rsidP="00E25A8C">
      <w:pPr>
        <w:spacing w:before="0" w:after="0"/>
        <w:rPr>
          <w:rFonts w:asciiTheme="majorHAnsi" w:hAnsiTheme="majorHAnsi" w:cstheme="majorHAnsi"/>
          <w:bCs/>
          <w:smallCaps/>
          <w:kern w:val="32"/>
          <w:szCs w:val="22"/>
          <w:lang w:val="en-GB"/>
        </w:rPr>
      </w:pPr>
    </w:p>
    <w:sectPr w:rsidR="00E25A8C" w:rsidRPr="00925091" w:rsidSect="00DA2A15">
      <w:headerReference w:type="even" r:id="rId38"/>
      <w:headerReference w:type="default" r:id="rId39"/>
      <w:footerReference w:type="even" r:id="rId40"/>
      <w:footerReference w:type="default" r:id="rId41"/>
      <w:headerReference w:type="first" r:id="rId42"/>
      <w:footerReference w:type="first" r:id="rId4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8BC23" w14:textId="77777777" w:rsidR="001A1199" w:rsidRDefault="001A1199">
      <w:r>
        <w:separator/>
      </w:r>
    </w:p>
  </w:endnote>
  <w:endnote w:type="continuationSeparator" w:id="0">
    <w:p w14:paraId="1A03C33F" w14:textId="77777777" w:rsidR="001A1199" w:rsidRDefault="001A1199">
      <w:r>
        <w:continuationSeparator/>
      </w:r>
    </w:p>
  </w:endnote>
  <w:endnote w:type="continuationNotice" w:id="1">
    <w:p w14:paraId="6DD8DFE7" w14:textId="77777777" w:rsidR="001A1199" w:rsidRDefault="001A119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ScalaSansPro-Regular">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651B8" w14:textId="77777777" w:rsidR="00B00286" w:rsidRDefault="00B002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95545" w14:textId="54527366" w:rsidR="00E73BA4" w:rsidRPr="004B5302" w:rsidRDefault="00B00286" w:rsidP="007021F1">
    <w:pPr>
      <w:pStyle w:val="Footer"/>
      <w:spacing w:before="0" w:after="0" w:line="240" w:lineRule="auto"/>
      <w:jc w:val="center"/>
      <w:rPr>
        <w:bCs/>
        <w:sz w:val="16"/>
        <w:szCs w:val="16"/>
      </w:rPr>
    </w:pPr>
    <w:r>
      <w:rPr>
        <w:rFonts w:asciiTheme="majorHAnsi" w:hAnsiTheme="majorHAnsi" w:cstheme="majorHAnsi"/>
        <w:sz w:val="16"/>
        <w:szCs w:val="16"/>
      </w:rPr>
      <w:t>Sample design</w:t>
    </w:r>
    <w:r w:rsidR="00E73BA4">
      <w:rPr>
        <w:rFonts w:asciiTheme="majorHAnsi" w:hAnsiTheme="majorHAnsi" w:cstheme="majorHAnsi"/>
        <w:sz w:val="16"/>
        <w:szCs w:val="16"/>
      </w:rPr>
      <w:t xml:space="preserve"> Design</w:t>
    </w:r>
    <w:r w:rsidR="00E73BA4" w:rsidRPr="007021F1">
      <w:rPr>
        <w:rFonts w:asciiTheme="majorHAnsi" w:hAnsiTheme="majorHAnsi" w:cstheme="majorHAnsi"/>
        <w:sz w:val="16"/>
        <w:szCs w:val="16"/>
      </w:rPr>
      <w:t xml:space="preserve"> </w:t>
    </w:r>
    <w:r w:rsidR="00E73BA4" w:rsidRPr="004B5302">
      <w:rPr>
        <w:bCs/>
        <w:sz w:val="16"/>
        <w:szCs w:val="16"/>
      </w:rPr>
      <w:t xml:space="preserve">| </w:t>
    </w:r>
    <w:r w:rsidR="00E73BA4" w:rsidRPr="004B5302">
      <w:rPr>
        <w:bCs/>
        <w:sz w:val="16"/>
        <w:szCs w:val="16"/>
      </w:rPr>
      <w:fldChar w:fldCharType="begin"/>
    </w:r>
    <w:r w:rsidR="00E73BA4" w:rsidRPr="004B5302">
      <w:rPr>
        <w:bCs/>
        <w:sz w:val="16"/>
        <w:szCs w:val="16"/>
      </w:rPr>
      <w:instrText xml:space="preserve"> PAGE  \* Arabic  \* MERGEFORMAT </w:instrText>
    </w:r>
    <w:r w:rsidR="00E73BA4" w:rsidRPr="004B5302">
      <w:rPr>
        <w:bCs/>
        <w:sz w:val="16"/>
        <w:szCs w:val="16"/>
      </w:rPr>
      <w:fldChar w:fldCharType="separate"/>
    </w:r>
    <w:r w:rsidR="00E80ACD">
      <w:rPr>
        <w:bCs/>
        <w:noProof/>
        <w:sz w:val="16"/>
        <w:szCs w:val="16"/>
      </w:rPr>
      <w:t>4</w:t>
    </w:r>
    <w:r w:rsidR="00E73BA4" w:rsidRPr="004B5302">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4ABB" w14:textId="77777777" w:rsidR="00B00286" w:rsidRDefault="00B002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8C717" w14:textId="77777777" w:rsidR="00E73BA4" w:rsidRDefault="00E73BA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C99B5" w14:textId="0683C997" w:rsidR="00E73BA4" w:rsidRPr="007021F1" w:rsidRDefault="00C73E18" w:rsidP="00886837">
    <w:pPr>
      <w:pStyle w:val="Footer"/>
      <w:tabs>
        <w:tab w:val="right" w:pos="9000"/>
      </w:tabs>
      <w:spacing w:before="0" w:after="0" w:line="240" w:lineRule="auto"/>
      <w:jc w:val="center"/>
      <w:rPr>
        <w:rFonts w:asciiTheme="majorHAnsi" w:eastAsia="Times New Roman" w:hAnsiTheme="majorHAnsi" w:cstheme="majorHAnsi"/>
        <w:bCs/>
        <w:iCs/>
        <w:sz w:val="16"/>
        <w:szCs w:val="16"/>
        <w:lang w:val="en-GB"/>
      </w:rPr>
    </w:pPr>
    <w:r>
      <w:rPr>
        <w:rFonts w:asciiTheme="majorHAnsi" w:hAnsiTheme="majorHAnsi" w:cstheme="majorHAnsi"/>
        <w:sz w:val="16"/>
        <w:szCs w:val="16"/>
        <w:lang w:val="en-GB"/>
      </w:rPr>
      <w:t>Sample Design</w:t>
    </w:r>
    <w:r w:rsidR="00E73BA4" w:rsidRPr="007021F1">
      <w:rPr>
        <w:rFonts w:asciiTheme="majorHAnsi" w:hAnsiTheme="majorHAnsi" w:cstheme="majorHAnsi"/>
        <w:sz w:val="16"/>
        <w:szCs w:val="16"/>
        <w:lang w:val="en-GB"/>
      </w:rPr>
      <w:t xml:space="preserve"> | page </w:t>
    </w:r>
    <w:r w:rsidR="00E73BA4" w:rsidRPr="007021F1">
      <w:rPr>
        <w:rFonts w:asciiTheme="majorHAnsi" w:hAnsiTheme="majorHAnsi" w:cstheme="majorHAnsi"/>
        <w:sz w:val="16"/>
        <w:szCs w:val="16"/>
        <w:lang w:val="en-GB"/>
      </w:rPr>
      <w:fldChar w:fldCharType="begin"/>
    </w:r>
    <w:r w:rsidR="00E73BA4" w:rsidRPr="007021F1">
      <w:rPr>
        <w:rFonts w:asciiTheme="majorHAnsi" w:hAnsiTheme="majorHAnsi" w:cstheme="majorHAnsi"/>
        <w:sz w:val="16"/>
        <w:szCs w:val="16"/>
        <w:lang w:val="en-GB"/>
      </w:rPr>
      <w:instrText xml:space="preserve"> PAGE   \* MERGEFORMAT </w:instrText>
    </w:r>
    <w:r w:rsidR="00E73BA4" w:rsidRPr="007021F1">
      <w:rPr>
        <w:rFonts w:asciiTheme="majorHAnsi" w:hAnsiTheme="majorHAnsi" w:cstheme="majorHAnsi"/>
        <w:sz w:val="16"/>
        <w:szCs w:val="16"/>
        <w:lang w:val="en-GB"/>
      </w:rPr>
      <w:fldChar w:fldCharType="separate"/>
    </w:r>
    <w:r w:rsidR="00E80ACD">
      <w:rPr>
        <w:rFonts w:asciiTheme="majorHAnsi" w:hAnsiTheme="majorHAnsi" w:cstheme="majorHAnsi"/>
        <w:noProof/>
        <w:sz w:val="16"/>
        <w:szCs w:val="16"/>
        <w:lang w:val="en-GB"/>
      </w:rPr>
      <w:t>11</w:t>
    </w:r>
    <w:r w:rsidR="00E73BA4" w:rsidRPr="007021F1">
      <w:rPr>
        <w:rFonts w:asciiTheme="majorHAnsi" w:hAnsiTheme="majorHAnsi" w:cstheme="majorHAnsi"/>
        <w:sz w:val="16"/>
        <w:szCs w:val="16"/>
        <w:lang w:val="en-G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E980E" w14:textId="77777777" w:rsidR="00E73BA4" w:rsidRDefault="00E73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88E6A" w14:textId="77777777" w:rsidR="001A1199" w:rsidRDefault="001A1199">
      <w:r>
        <w:separator/>
      </w:r>
    </w:p>
  </w:footnote>
  <w:footnote w:type="continuationSeparator" w:id="0">
    <w:p w14:paraId="6A00FB50" w14:textId="77777777" w:rsidR="001A1199" w:rsidRDefault="001A1199">
      <w:r>
        <w:continuationSeparator/>
      </w:r>
    </w:p>
  </w:footnote>
  <w:footnote w:type="continuationNotice" w:id="1">
    <w:p w14:paraId="6034D0BD" w14:textId="77777777" w:rsidR="001A1199" w:rsidRDefault="001A1199">
      <w:pPr>
        <w:spacing w:before="0" w:after="0" w:line="240" w:lineRule="auto"/>
      </w:pPr>
    </w:p>
  </w:footnote>
  <w:footnote w:id="2">
    <w:p w14:paraId="6ADA9664" w14:textId="6DEBF4A8" w:rsidR="00E73BA4" w:rsidRPr="00E85C4A" w:rsidRDefault="00E73BA4" w:rsidP="00E85C4A">
      <w:pPr>
        <w:pStyle w:val="FootnoteText"/>
        <w:spacing w:before="0" w:after="0" w:line="240" w:lineRule="auto"/>
        <w:rPr>
          <w:rFonts w:asciiTheme="majorHAnsi" w:hAnsiTheme="majorHAnsi" w:cstheme="majorHAnsi"/>
          <w:sz w:val="18"/>
          <w:szCs w:val="18"/>
        </w:rPr>
      </w:pPr>
      <w:r w:rsidRPr="00E85C4A">
        <w:rPr>
          <w:rStyle w:val="FootnoteReference"/>
          <w:rFonts w:asciiTheme="majorHAnsi" w:hAnsiTheme="majorHAnsi" w:cstheme="majorHAnsi"/>
          <w:sz w:val="18"/>
          <w:szCs w:val="18"/>
        </w:rPr>
        <w:footnoteRef/>
      </w:r>
      <w:r w:rsidRPr="00E85C4A">
        <w:rPr>
          <w:rFonts w:asciiTheme="majorHAnsi" w:hAnsiTheme="majorHAnsi" w:cstheme="majorHAnsi"/>
          <w:sz w:val="18"/>
          <w:szCs w:val="18"/>
        </w:rPr>
        <w:t xml:space="preserve"> </w:t>
      </w:r>
      <w:r w:rsidRPr="00E85C4A">
        <w:rPr>
          <w:rFonts w:asciiTheme="majorHAnsi" w:hAnsiTheme="majorHAnsi" w:cstheme="majorHAnsi"/>
          <w:sz w:val="18"/>
          <w:szCs w:val="18"/>
          <w:lang w:val="en-GB"/>
        </w:rPr>
        <w:t>Official statistics in Serbia do not include a specific definition for rural settlements. Instead, an ‘administrative-legal’ criterion is applied that designates settlements as either ‘Urban’ or ‘Other’. Urban settlements are recognized as such by an act of the local self-government, with all other settlements falling into the category of ‘Other’.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B923C" w14:textId="77777777" w:rsidR="00B00286" w:rsidRDefault="00B002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A997C" w14:textId="77777777" w:rsidR="00B00286" w:rsidRDefault="00B002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2D1C4" w14:textId="77777777" w:rsidR="00B00286" w:rsidRDefault="00B002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2233D" w14:textId="77777777" w:rsidR="00E73BA4" w:rsidRDefault="00E73B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E5278" w14:textId="77777777" w:rsidR="00E73BA4" w:rsidRDefault="00E73BA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F3842" w14:textId="77777777" w:rsidR="00E73BA4" w:rsidRDefault="00E73B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D03"/>
    <w:multiLevelType w:val="hybridMultilevel"/>
    <w:tmpl w:val="93DCF240"/>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05C06D2"/>
    <w:multiLevelType w:val="hybridMultilevel"/>
    <w:tmpl w:val="9738A36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817A69"/>
    <w:multiLevelType w:val="hybridMultilevel"/>
    <w:tmpl w:val="BC96696A"/>
    <w:lvl w:ilvl="0" w:tplc="5E44B5C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0AF5A1B"/>
    <w:multiLevelType w:val="hybridMultilevel"/>
    <w:tmpl w:val="82D49C5C"/>
    <w:lvl w:ilvl="0" w:tplc="8F8C8C1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1D61B48"/>
    <w:multiLevelType w:val="hybridMultilevel"/>
    <w:tmpl w:val="9186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B05951"/>
    <w:multiLevelType w:val="hybridMultilevel"/>
    <w:tmpl w:val="1A963B6C"/>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5CD2EB9"/>
    <w:multiLevelType w:val="hybridMultilevel"/>
    <w:tmpl w:val="3584596A"/>
    <w:lvl w:ilvl="0" w:tplc="93386688">
      <w:start w:val="1"/>
      <w:numFmt w:val="bullet"/>
      <w:lvlText w:val=""/>
      <w:lvlJc w:val="left"/>
      <w:pPr>
        <w:tabs>
          <w:tab w:val="num" w:pos="346"/>
        </w:tabs>
        <w:ind w:left="346" w:hanging="34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A8445A"/>
    <w:multiLevelType w:val="hybridMultilevel"/>
    <w:tmpl w:val="C380B28C"/>
    <w:lvl w:ilvl="0" w:tplc="0409000F">
      <w:start w:val="1"/>
      <w:numFmt w:val="decimal"/>
      <w:lvlText w:val="%1."/>
      <w:lvlJc w:val="left"/>
      <w:pPr>
        <w:tabs>
          <w:tab w:val="num" w:pos="720"/>
        </w:tabs>
        <w:ind w:left="72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8" w15:restartNumberingAfterBreak="0">
    <w:nsid w:val="0E2423D3"/>
    <w:multiLevelType w:val="hybridMultilevel"/>
    <w:tmpl w:val="3ED254C0"/>
    <w:lvl w:ilvl="0" w:tplc="0409000F">
      <w:start w:val="1"/>
      <w:numFmt w:val="decimal"/>
      <w:lvlText w:val="%1."/>
      <w:lvlJc w:val="left"/>
      <w:pPr>
        <w:tabs>
          <w:tab w:val="num" w:pos="720"/>
        </w:tabs>
        <w:ind w:left="72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9" w15:restartNumberingAfterBreak="0">
    <w:nsid w:val="13FC67B5"/>
    <w:multiLevelType w:val="hybridMultilevel"/>
    <w:tmpl w:val="2C00635C"/>
    <w:lvl w:ilvl="0" w:tplc="041D0001">
      <w:start w:val="1"/>
      <w:numFmt w:val="decimal"/>
      <w:lvlText w:val="%1."/>
      <w:lvlJc w:val="left"/>
      <w:pPr>
        <w:tabs>
          <w:tab w:val="num" w:pos="937"/>
        </w:tabs>
        <w:ind w:left="937" w:hanging="360"/>
      </w:pPr>
      <w:rPr>
        <w:rFonts w:cs="Times New Roman"/>
      </w:rPr>
    </w:lvl>
    <w:lvl w:ilvl="1" w:tplc="04090019" w:tentative="1">
      <w:start w:val="1"/>
      <w:numFmt w:val="lowerLetter"/>
      <w:lvlText w:val="%2."/>
      <w:lvlJc w:val="left"/>
      <w:pPr>
        <w:tabs>
          <w:tab w:val="num" w:pos="1657"/>
        </w:tabs>
        <w:ind w:left="1657" w:hanging="360"/>
      </w:pPr>
    </w:lvl>
    <w:lvl w:ilvl="2" w:tplc="0409001B" w:tentative="1">
      <w:start w:val="1"/>
      <w:numFmt w:val="lowerRoman"/>
      <w:lvlText w:val="%3."/>
      <w:lvlJc w:val="right"/>
      <w:pPr>
        <w:tabs>
          <w:tab w:val="num" w:pos="2377"/>
        </w:tabs>
        <w:ind w:left="2377" w:hanging="180"/>
      </w:pPr>
    </w:lvl>
    <w:lvl w:ilvl="3" w:tplc="0409000F" w:tentative="1">
      <w:start w:val="1"/>
      <w:numFmt w:val="decimal"/>
      <w:lvlText w:val="%4."/>
      <w:lvlJc w:val="left"/>
      <w:pPr>
        <w:tabs>
          <w:tab w:val="num" w:pos="3097"/>
        </w:tabs>
        <w:ind w:left="3097" w:hanging="360"/>
      </w:pPr>
    </w:lvl>
    <w:lvl w:ilvl="4" w:tplc="04090019" w:tentative="1">
      <w:start w:val="1"/>
      <w:numFmt w:val="lowerLetter"/>
      <w:lvlText w:val="%5."/>
      <w:lvlJc w:val="left"/>
      <w:pPr>
        <w:tabs>
          <w:tab w:val="num" w:pos="3817"/>
        </w:tabs>
        <w:ind w:left="3817" w:hanging="360"/>
      </w:pPr>
    </w:lvl>
    <w:lvl w:ilvl="5" w:tplc="0409001B" w:tentative="1">
      <w:start w:val="1"/>
      <w:numFmt w:val="lowerRoman"/>
      <w:lvlText w:val="%6."/>
      <w:lvlJc w:val="right"/>
      <w:pPr>
        <w:tabs>
          <w:tab w:val="num" w:pos="4537"/>
        </w:tabs>
        <w:ind w:left="4537" w:hanging="180"/>
      </w:pPr>
    </w:lvl>
    <w:lvl w:ilvl="6" w:tplc="0409000F" w:tentative="1">
      <w:start w:val="1"/>
      <w:numFmt w:val="decimal"/>
      <w:lvlText w:val="%7."/>
      <w:lvlJc w:val="left"/>
      <w:pPr>
        <w:tabs>
          <w:tab w:val="num" w:pos="5257"/>
        </w:tabs>
        <w:ind w:left="5257" w:hanging="360"/>
      </w:pPr>
    </w:lvl>
    <w:lvl w:ilvl="7" w:tplc="04090019" w:tentative="1">
      <w:start w:val="1"/>
      <w:numFmt w:val="lowerLetter"/>
      <w:lvlText w:val="%8."/>
      <w:lvlJc w:val="left"/>
      <w:pPr>
        <w:tabs>
          <w:tab w:val="num" w:pos="5977"/>
        </w:tabs>
        <w:ind w:left="5977" w:hanging="360"/>
      </w:pPr>
    </w:lvl>
    <w:lvl w:ilvl="8" w:tplc="0409001B" w:tentative="1">
      <w:start w:val="1"/>
      <w:numFmt w:val="lowerRoman"/>
      <w:lvlText w:val="%9."/>
      <w:lvlJc w:val="right"/>
      <w:pPr>
        <w:tabs>
          <w:tab w:val="num" w:pos="6697"/>
        </w:tabs>
        <w:ind w:left="6697" w:hanging="180"/>
      </w:pPr>
    </w:lvl>
  </w:abstractNum>
  <w:abstractNum w:abstractNumId="10" w15:restartNumberingAfterBreak="0">
    <w:nsid w:val="14687E9D"/>
    <w:multiLevelType w:val="hybridMultilevel"/>
    <w:tmpl w:val="1CE4A94A"/>
    <w:lvl w:ilvl="0" w:tplc="9572AC64">
      <w:start w:val="1"/>
      <w:numFmt w:val="bullet"/>
      <w:lvlText w:val=""/>
      <w:lvlJc w:val="left"/>
      <w:pPr>
        <w:tabs>
          <w:tab w:val="num" w:pos="648"/>
        </w:tabs>
        <w:ind w:left="64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ED4EA0"/>
    <w:multiLevelType w:val="hybridMultilevel"/>
    <w:tmpl w:val="F6721292"/>
    <w:lvl w:ilvl="0" w:tplc="45065E12">
      <w:start w:val="1"/>
      <w:numFmt w:val="bullet"/>
      <w:lvlText w:val="o"/>
      <w:lvlJc w:val="left"/>
      <w:pPr>
        <w:tabs>
          <w:tab w:val="num" w:pos="288"/>
        </w:tabs>
        <w:ind w:left="288" w:hanging="288"/>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F47655"/>
    <w:multiLevelType w:val="hybridMultilevel"/>
    <w:tmpl w:val="934084C0"/>
    <w:lvl w:ilvl="0" w:tplc="ABFEC406">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191D262D"/>
    <w:multiLevelType w:val="hybridMultilevel"/>
    <w:tmpl w:val="9E886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7B2942"/>
    <w:multiLevelType w:val="hybridMultilevel"/>
    <w:tmpl w:val="7FDEFD2C"/>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A3641B7"/>
    <w:multiLevelType w:val="hybridMultilevel"/>
    <w:tmpl w:val="C6901182"/>
    <w:lvl w:ilvl="0" w:tplc="C52EF8F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1A6E207B"/>
    <w:multiLevelType w:val="hybridMultilevel"/>
    <w:tmpl w:val="72C4234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AA011CC"/>
    <w:multiLevelType w:val="hybridMultilevel"/>
    <w:tmpl w:val="F95E5718"/>
    <w:lvl w:ilvl="0" w:tplc="928A3B46">
      <w:start w:val="3"/>
      <w:numFmt w:val="decimal"/>
      <w:lvlText w:val="A.%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DE76FCA"/>
    <w:multiLevelType w:val="hybridMultilevel"/>
    <w:tmpl w:val="C96A6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F27307"/>
    <w:multiLevelType w:val="hybridMultilevel"/>
    <w:tmpl w:val="2D30FFCC"/>
    <w:lvl w:ilvl="0" w:tplc="30CE9F14">
      <w:start w:val="4"/>
      <w:numFmt w:val="decimal"/>
      <w:lvlText w:val="A.%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0157409"/>
    <w:multiLevelType w:val="hybridMultilevel"/>
    <w:tmpl w:val="4A46BAC6"/>
    <w:lvl w:ilvl="0" w:tplc="F4C49E52">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21D77FBF"/>
    <w:multiLevelType w:val="hybridMultilevel"/>
    <w:tmpl w:val="2C00635C"/>
    <w:lvl w:ilvl="0" w:tplc="041D0001">
      <w:start w:val="1"/>
      <w:numFmt w:val="decimal"/>
      <w:lvlText w:val="%1."/>
      <w:lvlJc w:val="left"/>
      <w:pPr>
        <w:tabs>
          <w:tab w:val="num" w:pos="937"/>
        </w:tabs>
        <w:ind w:left="937" w:hanging="360"/>
      </w:pPr>
      <w:rPr>
        <w:rFonts w:cs="Times New Roman"/>
      </w:rPr>
    </w:lvl>
    <w:lvl w:ilvl="1" w:tplc="04090019" w:tentative="1">
      <w:start w:val="1"/>
      <w:numFmt w:val="lowerLetter"/>
      <w:lvlText w:val="%2."/>
      <w:lvlJc w:val="left"/>
      <w:pPr>
        <w:tabs>
          <w:tab w:val="num" w:pos="1657"/>
        </w:tabs>
        <w:ind w:left="1657" w:hanging="360"/>
      </w:pPr>
    </w:lvl>
    <w:lvl w:ilvl="2" w:tplc="0409001B" w:tentative="1">
      <w:start w:val="1"/>
      <w:numFmt w:val="lowerRoman"/>
      <w:lvlText w:val="%3."/>
      <w:lvlJc w:val="right"/>
      <w:pPr>
        <w:tabs>
          <w:tab w:val="num" w:pos="2377"/>
        </w:tabs>
        <w:ind w:left="2377" w:hanging="180"/>
      </w:pPr>
    </w:lvl>
    <w:lvl w:ilvl="3" w:tplc="0409000F" w:tentative="1">
      <w:start w:val="1"/>
      <w:numFmt w:val="decimal"/>
      <w:lvlText w:val="%4."/>
      <w:lvlJc w:val="left"/>
      <w:pPr>
        <w:tabs>
          <w:tab w:val="num" w:pos="3097"/>
        </w:tabs>
        <w:ind w:left="3097" w:hanging="360"/>
      </w:pPr>
    </w:lvl>
    <w:lvl w:ilvl="4" w:tplc="04090019" w:tentative="1">
      <w:start w:val="1"/>
      <w:numFmt w:val="lowerLetter"/>
      <w:lvlText w:val="%5."/>
      <w:lvlJc w:val="left"/>
      <w:pPr>
        <w:tabs>
          <w:tab w:val="num" w:pos="3817"/>
        </w:tabs>
        <w:ind w:left="3817" w:hanging="360"/>
      </w:pPr>
    </w:lvl>
    <w:lvl w:ilvl="5" w:tplc="0409001B" w:tentative="1">
      <w:start w:val="1"/>
      <w:numFmt w:val="lowerRoman"/>
      <w:lvlText w:val="%6."/>
      <w:lvlJc w:val="right"/>
      <w:pPr>
        <w:tabs>
          <w:tab w:val="num" w:pos="4537"/>
        </w:tabs>
        <w:ind w:left="4537" w:hanging="180"/>
      </w:pPr>
    </w:lvl>
    <w:lvl w:ilvl="6" w:tplc="0409000F" w:tentative="1">
      <w:start w:val="1"/>
      <w:numFmt w:val="decimal"/>
      <w:lvlText w:val="%7."/>
      <w:lvlJc w:val="left"/>
      <w:pPr>
        <w:tabs>
          <w:tab w:val="num" w:pos="5257"/>
        </w:tabs>
        <w:ind w:left="5257" w:hanging="360"/>
      </w:pPr>
    </w:lvl>
    <w:lvl w:ilvl="7" w:tplc="04090019" w:tentative="1">
      <w:start w:val="1"/>
      <w:numFmt w:val="lowerLetter"/>
      <w:lvlText w:val="%8."/>
      <w:lvlJc w:val="left"/>
      <w:pPr>
        <w:tabs>
          <w:tab w:val="num" w:pos="5977"/>
        </w:tabs>
        <w:ind w:left="5977" w:hanging="360"/>
      </w:pPr>
    </w:lvl>
    <w:lvl w:ilvl="8" w:tplc="0409001B" w:tentative="1">
      <w:start w:val="1"/>
      <w:numFmt w:val="lowerRoman"/>
      <w:lvlText w:val="%9."/>
      <w:lvlJc w:val="right"/>
      <w:pPr>
        <w:tabs>
          <w:tab w:val="num" w:pos="6697"/>
        </w:tabs>
        <w:ind w:left="6697" w:hanging="180"/>
      </w:pPr>
    </w:lvl>
  </w:abstractNum>
  <w:abstractNum w:abstractNumId="22" w15:restartNumberingAfterBreak="0">
    <w:nsid w:val="21E8798F"/>
    <w:multiLevelType w:val="hybridMultilevel"/>
    <w:tmpl w:val="1A963B6C"/>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2455770"/>
    <w:multiLevelType w:val="hybridMultilevel"/>
    <w:tmpl w:val="7FDEFD2C"/>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2764AF3"/>
    <w:multiLevelType w:val="hybridMultilevel"/>
    <w:tmpl w:val="934084C0"/>
    <w:lvl w:ilvl="0" w:tplc="ABFEC406">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22DF7B99"/>
    <w:multiLevelType w:val="hybridMultilevel"/>
    <w:tmpl w:val="2AD49336"/>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3FB076D"/>
    <w:multiLevelType w:val="hybridMultilevel"/>
    <w:tmpl w:val="3A589608"/>
    <w:lvl w:ilvl="0" w:tplc="F94206C6">
      <w:start w:val="2"/>
      <w:numFmt w:val="decimal"/>
      <w:lvlText w:val="A.%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78961D5"/>
    <w:multiLevelType w:val="hybridMultilevel"/>
    <w:tmpl w:val="2000159E"/>
    <w:lvl w:ilvl="0" w:tplc="93C0B19A">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A93D58"/>
    <w:multiLevelType w:val="hybridMultilevel"/>
    <w:tmpl w:val="77266754"/>
    <w:lvl w:ilvl="0" w:tplc="0F46542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2C4F1906"/>
    <w:multiLevelType w:val="hybridMultilevel"/>
    <w:tmpl w:val="7FDEFD2C"/>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2CBC552B"/>
    <w:multiLevelType w:val="hybridMultilevel"/>
    <w:tmpl w:val="2AD49336"/>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2EBF14F0"/>
    <w:multiLevelType w:val="hybridMultilevel"/>
    <w:tmpl w:val="6D1EB34E"/>
    <w:lvl w:ilvl="0" w:tplc="EE5A849A">
      <w:start w:val="2"/>
      <w:numFmt w:val="bullet"/>
      <w:lvlText w:val=""/>
      <w:lvlJc w:val="left"/>
      <w:pPr>
        <w:ind w:left="504" w:hanging="360"/>
      </w:pPr>
      <w:rPr>
        <w:rFonts w:ascii="Wingdings" w:eastAsia="Times New Roman" w:hAnsi="Wingdings" w:cs="Times New Roman" w:hint="default"/>
        <w:b/>
        <w:i w:val="0"/>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32" w15:restartNumberingAfterBreak="0">
    <w:nsid w:val="31CC18FB"/>
    <w:multiLevelType w:val="hybridMultilevel"/>
    <w:tmpl w:val="2D2C514A"/>
    <w:lvl w:ilvl="0" w:tplc="3D24F81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34BB34F8"/>
    <w:multiLevelType w:val="multilevel"/>
    <w:tmpl w:val="AD181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802FA9"/>
    <w:multiLevelType w:val="hybridMultilevel"/>
    <w:tmpl w:val="4A88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602F9E"/>
    <w:multiLevelType w:val="hybridMultilevel"/>
    <w:tmpl w:val="7FDEFD2C"/>
    <w:lvl w:ilvl="0" w:tplc="5E4CFD0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A905E8E"/>
    <w:multiLevelType w:val="hybridMultilevel"/>
    <w:tmpl w:val="AC060EB8"/>
    <w:lvl w:ilvl="0" w:tplc="C2884F04">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3B30CD"/>
    <w:multiLevelType w:val="hybridMultilevel"/>
    <w:tmpl w:val="DABCFBFC"/>
    <w:lvl w:ilvl="0" w:tplc="E5406B74">
      <w:start w:val="1"/>
      <w:numFmt w:val="decimal"/>
      <w:lvlText w:val="D.%1"/>
      <w:lvlJc w:val="left"/>
      <w:pPr>
        <w:ind w:left="57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0681E37"/>
    <w:multiLevelType w:val="hybridMultilevel"/>
    <w:tmpl w:val="57DE54CA"/>
    <w:lvl w:ilvl="0" w:tplc="0B9845AC">
      <w:numFmt w:val="bullet"/>
      <w:lvlText w:val="•"/>
      <w:lvlJc w:val="left"/>
      <w:pPr>
        <w:ind w:left="806" w:hanging="360"/>
      </w:pPr>
      <w:rPr>
        <w:rFonts w:ascii="Calibri" w:eastAsiaTheme="minorEastAsia"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39" w15:restartNumberingAfterBreak="0">
    <w:nsid w:val="42A02B48"/>
    <w:multiLevelType w:val="hybridMultilevel"/>
    <w:tmpl w:val="5DE80076"/>
    <w:lvl w:ilvl="0" w:tplc="9C308A20">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A026CD5"/>
    <w:multiLevelType w:val="hybridMultilevel"/>
    <w:tmpl w:val="073E4314"/>
    <w:lvl w:ilvl="0" w:tplc="041D0001">
      <w:start w:val="1"/>
      <w:numFmt w:val="decimal"/>
      <w:lvlText w:val="%1."/>
      <w:lvlJc w:val="left"/>
      <w:pPr>
        <w:tabs>
          <w:tab w:val="num" w:pos="937"/>
        </w:tabs>
        <w:ind w:left="937" w:hanging="360"/>
      </w:pPr>
      <w:rPr>
        <w:rFonts w:cs="Times New Roman"/>
      </w:rPr>
    </w:lvl>
    <w:lvl w:ilvl="1" w:tplc="04090019" w:tentative="1">
      <w:start w:val="1"/>
      <w:numFmt w:val="lowerLetter"/>
      <w:lvlText w:val="%2."/>
      <w:lvlJc w:val="left"/>
      <w:pPr>
        <w:tabs>
          <w:tab w:val="num" w:pos="1657"/>
        </w:tabs>
        <w:ind w:left="1657" w:hanging="360"/>
      </w:pPr>
    </w:lvl>
    <w:lvl w:ilvl="2" w:tplc="0409001B" w:tentative="1">
      <w:start w:val="1"/>
      <w:numFmt w:val="lowerRoman"/>
      <w:lvlText w:val="%3."/>
      <w:lvlJc w:val="right"/>
      <w:pPr>
        <w:tabs>
          <w:tab w:val="num" w:pos="2377"/>
        </w:tabs>
        <w:ind w:left="2377" w:hanging="180"/>
      </w:pPr>
    </w:lvl>
    <w:lvl w:ilvl="3" w:tplc="0409000F" w:tentative="1">
      <w:start w:val="1"/>
      <w:numFmt w:val="decimal"/>
      <w:lvlText w:val="%4."/>
      <w:lvlJc w:val="left"/>
      <w:pPr>
        <w:tabs>
          <w:tab w:val="num" w:pos="3097"/>
        </w:tabs>
        <w:ind w:left="3097" w:hanging="360"/>
      </w:pPr>
    </w:lvl>
    <w:lvl w:ilvl="4" w:tplc="04090019" w:tentative="1">
      <w:start w:val="1"/>
      <w:numFmt w:val="lowerLetter"/>
      <w:lvlText w:val="%5."/>
      <w:lvlJc w:val="left"/>
      <w:pPr>
        <w:tabs>
          <w:tab w:val="num" w:pos="3817"/>
        </w:tabs>
        <w:ind w:left="3817" w:hanging="360"/>
      </w:pPr>
    </w:lvl>
    <w:lvl w:ilvl="5" w:tplc="0409001B" w:tentative="1">
      <w:start w:val="1"/>
      <w:numFmt w:val="lowerRoman"/>
      <w:lvlText w:val="%6."/>
      <w:lvlJc w:val="right"/>
      <w:pPr>
        <w:tabs>
          <w:tab w:val="num" w:pos="4537"/>
        </w:tabs>
        <w:ind w:left="4537" w:hanging="180"/>
      </w:pPr>
    </w:lvl>
    <w:lvl w:ilvl="6" w:tplc="0409000F" w:tentative="1">
      <w:start w:val="1"/>
      <w:numFmt w:val="decimal"/>
      <w:lvlText w:val="%7."/>
      <w:lvlJc w:val="left"/>
      <w:pPr>
        <w:tabs>
          <w:tab w:val="num" w:pos="5257"/>
        </w:tabs>
        <w:ind w:left="5257" w:hanging="360"/>
      </w:pPr>
    </w:lvl>
    <w:lvl w:ilvl="7" w:tplc="04090019" w:tentative="1">
      <w:start w:val="1"/>
      <w:numFmt w:val="lowerLetter"/>
      <w:lvlText w:val="%8."/>
      <w:lvlJc w:val="left"/>
      <w:pPr>
        <w:tabs>
          <w:tab w:val="num" w:pos="5977"/>
        </w:tabs>
        <w:ind w:left="5977" w:hanging="360"/>
      </w:pPr>
    </w:lvl>
    <w:lvl w:ilvl="8" w:tplc="0409001B" w:tentative="1">
      <w:start w:val="1"/>
      <w:numFmt w:val="lowerRoman"/>
      <w:lvlText w:val="%9."/>
      <w:lvlJc w:val="right"/>
      <w:pPr>
        <w:tabs>
          <w:tab w:val="num" w:pos="6697"/>
        </w:tabs>
        <w:ind w:left="6697" w:hanging="180"/>
      </w:pPr>
    </w:lvl>
  </w:abstractNum>
  <w:abstractNum w:abstractNumId="41" w15:restartNumberingAfterBreak="0">
    <w:nsid w:val="4B2056D3"/>
    <w:multiLevelType w:val="hybridMultilevel"/>
    <w:tmpl w:val="8494971C"/>
    <w:lvl w:ilvl="0" w:tplc="96C458D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4B38793D"/>
    <w:multiLevelType w:val="multilevel"/>
    <w:tmpl w:val="A8902CEA"/>
    <w:lvl w:ilvl="0">
      <w:start w:val="1"/>
      <w:numFmt w:val="decimal"/>
      <w:pStyle w:val="Heading1"/>
      <w:lvlText w:val="%1"/>
      <w:lvlJc w:val="left"/>
      <w:pPr>
        <w:ind w:left="432"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b w:val="0"/>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3" w15:restartNumberingAfterBreak="0">
    <w:nsid w:val="4E387DF0"/>
    <w:multiLevelType w:val="hybridMultilevel"/>
    <w:tmpl w:val="576EA236"/>
    <w:lvl w:ilvl="0" w:tplc="0409000F">
      <w:start w:val="1"/>
      <w:numFmt w:val="decimal"/>
      <w:lvlText w:val="%1."/>
      <w:lvlJc w:val="left"/>
      <w:pPr>
        <w:tabs>
          <w:tab w:val="num" w:pos="720"/>
        </w:tabs>
        <w:ind w:left="72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44" w15:restartNumberingAfterBreak="0">
    <w:nsid w:val="4F6053B9"/>
    <w:multiLevelType w:val="hybridMultilevel"/>
    <w:tmpl w:val="23EEAEC6"/>
    <w:lvl w:ilvl="0" w:tplc="16E2521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4FC91F79"/>
    <w:multiLevelType w:val="hybridMultilevel"/>
    <w:tmpl w:val="5DE80076"/>
    <w:lvl w:ilvl="0" w:tplc="9C308A20">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0F91625"/>
    <w:multiLevelType w:val="hybridMultilevel"/>
    <w:tmpl w:val="7A245974"/>
    <w:lvl w:ilvl="0" w:tplc="1B0CE5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31131B"/>
    <w:multiLevelType w:val="hybridMultilevel"/>
    <w:tmpl w:val="3F96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782080"/>
    <w:multiLevelType w:val="hybridMultilevel"/>
    <w:tmpl w:val="06D0C14E"/>
    <w:lvl w:ilvl="0" w:tplc="FFFFFFFF">
      <w:start w:val="1"/>
      <w:numFmt w:val="bullet"/>
      <w:lvlText w:val=""/>
      <w:lvlJc w:val="left"/>
      <w:pPr>
        <w:tabs>
          <w:tab w:val="num" w:pos="360"/>
        </w:tabs>
        <w:ind w:left="360" w:hanging="360"/>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3E42BC3"/>
    <w:multiLevelType w:val="hybridMultilevel"/>
    <w:tmpl w:val="39EEB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8F0218"/>
    <w:multiLevelType w:val="hybridMultilevel"/>
    <w:tmpl w:val="576EA236"/>
    <w:lvl w:ilvl="0" w:tplc="0409000F">
      <w:start w:val="1"/>
      <w:numFmt w:val="decimal"/>
      <w:lvlText w:val="%1."/>
      <w:lvlJc w:val="left"/>
      <w:pPr>
        <w:tabs>
          <w:tab w:val="num" w:pos="720"/>
        </w:tabs>
        <w:ind w:left="72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51" w15:restartNumberingAfterBreak="0">
    <w:nsid w:val="57D67984"/>
    <w:multiLevelType w:val="hybridMultilevel"/>
    <w:tmpl w:val="059694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ADB581A"/>
    <w:multiLevelType w:val="hybridMultilevel"/>
    <w:tmpl w:val="E6E46BA0"/>
    <w:lvl w:ilvl="0" w:tplc="E7CE511A">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3" w15:restartNumberingAfterBreak="0">
    <w:nsid w:val="5CAB5B49"/>
    <w:multiLevelType w:val="hybridMultilevel"/>
    <w:tmpl w:val="C090F35C"/>
    <w:lvl w:ilvl="0" w:tplc="0D1EABC2">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4" w15:restartNumberingAfterBreak="0">
    <w:nsid w:val="5D66525C"/>
    <w:multiLevelType w:val="hybridMultilevel"/>
    <w:tmpl w:val="5156DC8E"/>
    <w:lvl w:ilvl="0" w:tplc="0F465424">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5" w15:restartNumberingAfterBreak="0">
    <w:nsid w:val="60480674"/>
    <w:multiLevelType w:val="hybridMultilevel"/>
    <w:tmpl w:val="66CCF840"/>
    <w:lvl w:ilvl="0" w:tplc="5750EF88">
      <w:start w:val="1"/>
      <w:numFmt w:val="decimal"/>
      <w:lvlText w:val="A.%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60E46665"/>
    <w:multiLevelType w:val="hybridMultilevel"/>
    <w:tmpl w:val="FB78E3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18E6158"/>
    <w:multiLevelType w:val="hybridMultilevel"/>
    <w:tmpl w:val="C6901182"/>
    <w:lvl w:ilvl="0" w:tplc="C52EF8F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8" w15:restartNumberingAfterBreak="0">
    <w:nsid w:val="61DA34CA"/>
    <w:multiLevelType w:val="hybridMultilevel"/>
    <w:tmpl w:val="8182D7E6"/>
    <w:lvl w:ilvl="0" w:tplc="C8FAAE5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9" w15:restartNumberingAfterBreak="0">
    <w:nsid w:val="624718C4"/>
    <w:multiLevelType w:val="hybridMultilevel"/>
    <w:tmpl w:val="8494971C"/>
    <w:lvl w:ilvl="0" w:tplc="96C458D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0" w15:restartNumberingAfterBreak="0">
    <w:nsid w:val="629362AA"/>
    <w:multiLevelType w:val="hybridMultilevel"/>
    <w:tmpl w:val="4A46BAC6"/>
    <w:lvl w:ilvl="0" w:tplc="F4C49E52">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1" w15:restartNumberingAfterBreak="0">
    <w:nsid w:val="63435CAD"/>
    <w:multiLevelType w:val="hybridMultilevel"/>
    <w:tmpl w:val="0478D588"/>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56811F7"/>
    <w:multiLevelType w:val="hybridMultilevel"/>
    <w:tmpl w:val="6B08928E"/>
    <w:lvl w:ilvl="0" w:tplc="0F46542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67585765"/>
    <w:multiLevelType w:val="hybridMultilevel"/>
    <w:tmpl w:val="97B2F18A"/>
    <w:lvl w:ilvl="0" w:tplc="5CFA7DAC">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B8B022D"/>
    <w:multiLevelType w:val="hybridMultilevel"/>
    <w:tmpl w:val="8182D7E6"/>
    <w:lvl w:ilvl="0" w:tplc="C8FAAE5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 w15:restartNumberingAfterBreak="0">
    <w:nsid w:val="6DD67E04"/>
    <w:multiLevelType w:val="hybridMultilevel"/>
    <w:tmpl w:val="818EA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E657635"/>
    <w:multiLevelType w:val="hybridMultilevel"/>
    <w:tmpl w:val="576EA236"/>
    <w:lvl w:ilvl="0" w:tplc="0409000F">
      <w:start w:val="1"/>
      <w:numFmt w:val="decimal"/>
      <w:lvlText w:val="%1."/>
      <w:lvlJc w:val="left"/>
      <w:pPr>
        <w:tabs>
          <w:tab w:val="num" w:pos="720"/>
        </w:tabs>
        <w:ind w:left="720" w:hanging="360"/>
      </w:p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67" w15:restartNumberingAfterBreak="0">
    <w:nsid w:val="705B24E7"/>
    <w:multiLevelType w:val="hybridMultilevel"/>
    <w:tmpl w:val="579EB23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8" w15:restartNumberingAfterBreak="0">
    <w:nsid w:val="70E001DB"/>
    <w:multiLevelType w:val="hybridMultilevel"/>
    <w:tmpl w:val="9DFEA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1D42095"/>
    <w:multiLevelType w:val="hybridMultilevel"/>
    <w:tmpl w:val="23EEAEC6"/>
    <w:lvl w:ilvl="0" w:tplc="16E2521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0" w15:restartNumberingAfterBreak="0">
    <w:nsid w:val="76307240"/>
    <w:multiLevelType w:val="hybridMultilevel"/>
    <w:tmpl w:val="C090F35C"/>
    <w:lvl w:ilvl="0" w:tplc="0D1EABC2">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1" w15:restartNumberingAfterBreak="0">
    <w:nsid w:val="776E080D"/>
    <w:multiLevelType w:val="hybridMultilevel"/>
    <w:tmpl w:val="DABCFBFC"/>
    <w:lvl w:ilvl="0" w:tplc="E5406B74">
      <w:start w:val="1"/>
      <w:numFmt w:val="decimal"/>
      <w:lvlText w:val="D.%1"/>
      <w:lvlJc w:val="left"/>
      <w:pPr>
        <w:ind w:left="57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AB95610"/>
    <w:multiLevelType w:val="hybridMultilevel"/>
    <w:tmpl w:val="8494971C"/>
    <w:lvl w:ilvl="0" w:tplc="96C458D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3" w15:restartNumberingAfterBreak="0">
    <w:nsid w:val="7AEC116B"/>
    <w:multiLevelType w:val="hybridMultilevel"/>
    <w:tmpl w:val="2C00635C"/>
    <w:lvl w:ilvl="0" w:tplc="041D0001">
      <w:start w:val="1"/>
      <w:numFmt w:val="decimal"/>
      <w:lvlText w:val="%1."/>
      <w:lvlJc w:val="left"/>
      <w:pPr>
        <w:tabs>
          <w:tab w:val="num" w:pos="937"/>
        </w:tabs>
        <w:ind w:left="937" w:hanging="360"/>
      </w:pPr>
      <w:rPr>
        <w:rFonts w:cs="Times New Roman"/>
      </w:rPr>
    </w:lvl>
    <w:lvl w:ilvl="1" w:tplc="04090019" w:tentative="1">
      <w:start w:val="1"/>
      <w:numFmt w:val="lowerLetter"/>
      <w:lvlText w:val="%2."/>
      <w:lvlJc w:val="left"/>
      <w:pPr>
        <w:tabs>
          <w:tab w:val="num" w:pos="1657"/>
        </w:tabs>
        <w:ind w:left="1657" w:hanging="360"/>
      </w:pPr>
    </w:lvl>
    <w:lvl w:ilvl="2" w:tplc="0409001B" w:tentative="1">
      <w:start w:val="1"/>
      <w:numFmt w:val="lowerRoman"/>
      <w:lvlText w:val="%3."/>
      <w:lvlJc w:val="right"/>
      <w:pPr>
        <w:tabs>
          <w:tab w:val="num" w:pos="2377"/>
        </w:tabs>
        <w:ind w:left="2377" w:hanging="180"/>
      </w:pPr>
    </w:lvl>
    <w:lvl w:ilvl="3" w:tplc="0409000F" w:tentative="1">
      <w:start w:val="1"/>
      <w:numFmt w:val="decimal"/>
      <w:lvlText w:val="%4."/>
      <w:lvlJc w:val="left"/>
      <w:pPr>
        <w:tabs>
          <w:tab w:val="num" w:pos="3097"/>
        </w:tabs>
        <w:ind w:left="3097" w:hanging="360"/>
      </w:pPr>
    </w:lvl>
    <w:lvl w:ilvl="4" w:tplc="04090019" w:tentative="1">
      <w:start w:val="1"/>
      <w:numFmt w:val="lowerLetter"/>
      <w:lvlText w:val="%5."/>
      <w:lvlJc w:val="left"/>
      <w:pPr>
        <w:tabs>
          <w:tab w:val="num" w:pos="3817"/>
        </w:tabs>
        <w:ind w:left="3817" w:hanging="360"/>
      </w:pPr>
    </w:lvl>
    <w:lvl w:ilvl="5" w:tplc="0409001B" w:tentative="1">
      <w:start w:val="1"/>
      <w:numFmt w:val="lowerRoman"/>
      <w:lvlText w:val="%6."/>
      <w:lvlJc w:val="right"/>
      <w:pPr>
        <w:tabs>
          <w:tab w:val="num" w:pos="4537"/>
        </w:tabs>
        <w:ind w:left="4537" w:hanging="180"/>
      </w:pPr>
    </w:lvl>
    <w:lvl w:ilvl="6" w:tplc="0409000F" w:tentative="1">
      <w:start w:val="1"/>
      <w:numFmt w:val="decimal"/>
      <w:lvlText w:val="%7."/>
      <w:lvlJc w:val="left"/>
      <w:pPr>
        <w:tabs>
          <w:tab w:val="num" w:pos="5257"/>
        </w:tabs>
        <w:ind w:left="5257" w:hanging="360"/>
      </w:pPr>
    </w:lvl>
    <w:lvl w:ilvl="7" w:tplc="04090019" w:tentative="1">
      <w:start w:val="1"/>
      <w:numFmt w:val="lowerLetter"/>
      <w:lvlText w:val="%8."/>
      <w:lvlJc w:val="left"/>
      <w:pPr>
        <w:tabs>
          <w:tab w:val="num" w:pos="5977"/>
        </w:tabs>
        <w:ind w:left="5977" w:hanging="360"/>
      </w:pPr>
    </w:lvl>
    <w:lvl w:ilvl="8" w:tplc="0409001B" w:tentative="1">
      <w:start w:val="1"/>
      <w:numFmt w:val="lowerRoman"/>
      <w:lvlText w:val="%9."/>
      <w:lvlJc w:val="right"/>
      <w:pPr>
        <w:tabs>
          <w:tab w:val="num" w:pos="6697"/>
        </w:tabs>
        <w:ind w:left="6697" w:hanging="180"/>
      </w:pPr>
    </w:lvl>
  </w:abstractNum>
  <w:abstractNum w:abstractNumId="74" w15:restartNumberingAfterBreak="0">
    <w:nsid w:val="7D075A27"/>
    <w:multiLevelType w:val="hybridMultilevel"/>
    <w:tmpl w:val="82E057D6"/>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7D770CD8"/>
    <w:multiLevelType w:val="multilevel"/>
    <w:tmpl w:val="C3CE2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42"/>
  </w:num>
  <w:num w:numId="3">
    <w:abstractNumId w:val="38"/>
  </w:num>
  <w:num w:numId="4">
    <w:abstractNumId w:val="65"/>
  </w:num>
  <w:num w:numId="5">
    <w:abstractNumId w:val="68"/>
  </w:num>
  <w:num w:numId="6">
    <w:abstractNumId w:val="10"/>
  </w:num>
  <w:num w:numId="7">
    <w:abstractNumId w:val="47"/>
  </w:num>
  <w:num w:numId="8">
    <w:abstractNumId w:val="61"/>
  </w:num>
  <w:num w:numId="9">
    <w:abstractNumId w:val="13"/>
  </w:num>
  <w:num w:numId="10">
    <w:abstractNumId w:val="48"/>
  </w:num>
  <w:num w:numId="11">
    <w:abstractNumId w:val="74"/>
  </w:num>
  <w:num w:numId="12">
    <w:abstractNumId w:val="4"/>
  </w:num>
  <w:num w:numId="13">
    <w:abstractNumId w:val="27"/>
  </w:num>
  <w:num w:numId="14">
    <w:abstractNumId w:val="6"/>
  </w:num>
  <w:num w:numId="15">
    <w:abstractNumId w:val="49"/>
  </w:num>
  <w:num w:numId="16">
    <w:abstractNumId w:val="37"/>
  </w:num>
  <w:num w:numId="17">
    <w:abstractNumId w:val="46"/>
  </w:num>
  <w:num w:numId="18">
    <w:abstractNumId w:val="71"/>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55"/>
  </w:num>
  <w:num w:numId="54">
    <w:abstractNumId w:val="26"/>
  </w:num>
  <w:num w:numId="55">
    <w:abstractNumId w:val="17"/>
  </w:num>
  <w:num w:numId="56">
    <w:abstractNumId w:val="19"/>
  </w:num>
  <w:num w:numId="57">
    <w:abstractNumId w:val="75"/>
  </w:num>
  <w:num w:numId="58">
    <w:abstractNumId w:val="33"/>
  </w:num>
  <w:num w:numId="59">
    <w:abstractNumId w:val="34"/>
  </w:num>
  <w:num w:numId="60">
    <w:abstractNumId w:val="32"/>
  </w:num>
  <w:num w:numId="61">
    <w:abstractNumId w:val="16"/>
  </w:num>
  <w:num w:numId="62">
    <w:abstractNumId w:val="1"/>
  </w:num>
  <w:num w:numId="63">
    <w:abstractNumId w:val="11"/>
  </w:num>
  <w:num w:numId="64">
    <w:abstractNumId w:val="18"/>
  </w:num>
  <w:num w:numId="65">
    <w:abstractNumId w:val="31"/>
  </w:num>
  <w:num w:numId="66">
    <w:abstractNumId w:val="7"/>
  </w:num>
  <w:num w:numId="67">
    <w:abstractNumId w:val="8"/>
  </w:num>
  <w:num w:numId="68">
    <w:abstractNumId w:val="66"/>
  </w:num>
  <w:num w:numId="69">
    <w:abstractNumId w:val="40"/>
  </w:num>
  <w:num w:numId="70">
    <w:abstractNumId w:val="21"/>
  </w:num>
  <w:num w:numId="71">
    <w:abstractNumId w:val="2"/>
  </w:num>
  <w:num w:numId="72">
    <w:abstractNumId w:val="63"/>
  </w:num>
  <w:num w:numId="73">
    <w:abstractNumId w:val="73"/>
  </w:num>
  <w:num w:numId="74">
    <w:abstractNumId w:val="9"/>
  </w:num>
  <w:num w:numId="75">
    <w:abstractNumId w:val="43"/>
  </w:num>
  <w:num w:numId="76">
    <w:abstractNumId w:val="5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C13"/>
    <w:rsid w:val="00000E9D"/>
    <w:rsid w:val="00001264"/>
    <w:rsid w:val="00001839"/>
    <w:rsid w:val="00002113"/>
    <w:rsid w:val="00002D3C"/>
    <w:rsid w:val="00004A13"/>
    <w:rsid w:val="00005360"/>
    <w:rsid w:val="00005F72"/>
    <w:rsid w:val="00010568"/>
    <w:rsid w:val="00010755"/>
    <w:rsid w:val="0001163E"/>
    <w:rsid w:val="00011A34"/>
    <w:rsid w:val="00012401"/>
    <w:rsid w:val="000126B6"/>
    <w:rsid w:val="0001277B"/>
    <w:rsid w:val="000131CC"/>
    <w:rsid w:val="0001322E"/>
    <w:rsid w:val="00013539"/>
    <w:rsid w:val="00013F42"/>
    <w:rsid w:val="00015208"/>
    <w:rsid w:val="00015CF0"/>
    <w:rsid w:val="00017D9B"/>
    <w:rsid w:val="00020765"/>
    <w:rsid w:val="00021305"/>
    <w:rsid w:val="000215F9"/>
    <w:rsid w:val="00021621"/>
    <w:rsid w:val="00021DEA"/>
    <w:rsid w:val="0002205C"/>
    <w:rsid w:val="000221C2"/>
    <w:rsid w:val="000256D0"/>
    <w:rsid w:val="000270A0"/>
    <w:rsid w:val="000278A8"/>
    <w:rsid w:val="00027A1F"/>
    <w:rsid w:val="00027A4F"/>
    <w:rsid w:val="00030F52"/>
    <w:rsid w:val="0003239C"/>
    <w:rsid w:val="0003250A"/>
    <w:rsid w:val="00032618"/>
    <w:rsid w:val="00032700"/>
    <w:rsid w:val="000329ED"/>
    <w:rsid w:val="00032CC1"/>
    <w:rsid w:val="00033860"/>
    <w:rsid w:val="00033DCE"/>
    <w:rsid w:val="00034462"/>
    <w:rsid w:val="0003462E"/>
    <w:rsid w:val="00035F1A"/>
    <w:rsid w:val="00036184"/>
    <w:rsid w:val="00036EB0"/>
    <w:rsid w:val="00037B9F"/>
    <w:rsid w:val="000402A4"/>
    <w:rsid w:val="0004230B"/>
    <w:rsid w:val="0004315B"/>
    <w:rsid w:val="00043844"/>
    <w:rsid w:val="00043ADD"/>
    <w:rsid w:val="0004432F"/>
    <w:rsid w:val="00046B1D"/>
    <w:rsid w:val="00046B55"/>
    <w:rsid w:val="00046C0F"/>
    <w:rsid w:val="00046EED"/>
    <w:rsid w:val="00047D29"/>
    <w:rsid w:val="00047FC3"/>
    <w:rsid w:val="00050917"/>
    <w:rsid w:val="000529E6"/>
    <w:rsid w:val="00052A08"/>
    <w:rsid w:val="00052D30"/>
    <w:rsid w:val="00052E16"/>
    <w:rsid w:val="00054DC9"/>
    <w:rsid w:val="000551CC"/>
    <w:rsid w:val="0005780D"/>
    <w:rsid w:val="00057C71"/>
    <w:rsid w:val="000603B1"/>
    <w:rsid w:val="00061090"/>
    <w:rsid w:val="00062069"/>
    <w:rsid w:val="00063E97"/>
    <w:rsid w:val="000644BC"/>
    <w:rsid w:val="00066DC9"/>
    <w:rsid w:val="00066F4C"/>
    <w:rsid w:val="00067178"/>
    <w:rsid w:val="0006742C"/>
    <w:rsid w:val="00067FB3"/>
    <w:rsid w:val="000720E3"/>
    <w:rsid w:val="00072159"/>
    <w:rsid w:val="00072456"/>
    <w:rsid w:val="0007469E"/>
    <w:rsid w:val="00074CD2"/>
    <w:rsid w:val="00075A49"/>
    <w:rsid w:val="000773DB"/>
    <w:rsid w:val="00077D21"/>
    <w:rsid w:val="00077F8C"/>
    <w:rsid w:val="0008102A"/>
    <w:rsid w:val="0008112B"/>
    <w:rsid w:val="00081D02"/>
    <w:rsid w:val="00082882"/>
    <w:rsid w:val="00082F63"/>
    <w:rsid w:val="00084121"/>
    <w:rsid w:val="000845A0"/>
    <w:rsid w:val="000861BC"/>
    <w:rsid w:val="00086468"/>
    <w:rsid w:val="00086832"/>
    <w:rsid w:val="000870B5"/>
    <w:rsid w:val="0008717D"/>
    <w:rsid w:val="0008747A"/>
    <w:rsid w:val="000907EA"/>
    <w:rsid w:val="00090DC9"/>
    <w:rsid w:val="00091A63"/>
    <w:rsid w:val="0009210D"/>
    <w:rsid w:val="000924C6"/>
    <w:rsid w:val="000924F5"/>
    <w:rsid w:val="0009392B"/>
    <w:rsid w:val="0009445D"/>
    <w:rsid w:val="00095283"/>
    <w:rsid w:val="000953FA"/>
    <w:rsid w:val="00095D1F"/>
    <w:rsid w:val="000962FD"/>
    <w:rsid w:val="000A02EE"/>
    <w:rsid w:val="000A0E37"/>
    <w:rsid w:val="000A31A5"/>
    <w:rsid w:val="000A3762"/>
    <w:rsid w:val="000A37B5"/>
    <w:rsid w:val="000A3916"/>
    <w:rsid w:val="000A5F49"/>
    <w:rsid w:val="000A6BD9"/>
    <w:rsid w:val="000A7951"/>
    <w:rsid w:val="000A7C1B"/>
    <w:rsid w:val="000B1882"/>
    <w:rsid w:val="000B1D79"/>
    <w:rsid w:val="000B21F4"/>
    <w:rsid w:val="000B2205"/>
    <w:rsid w:val="000B32B6"/>
    <w:rsid w:val="000B32C2"/>
    <w:rsid w:val="000B4227"/>
    <w:rsid w:val="000B4C29"/>
    <w:rsid w:val="000B573F"/>
    <w:rsid w:val="000B6EA5"/>
    <w:rsid w:val="000B70D5"/>
    <w:rsid w:val="000C1938"/>
    <w:rsid w:val="000C1A81"/>
    <w:rsid w:val="000C3149"/>
    <w:rsid w:val="000C5B14"/>
    <w:rsid w:val="000C5F50"/>
    <w:rsid w:val="000C60A7"/>
    <w:rsid w:val="000C6CE5"/>
    <w:rsid w:val="000D176F"/>
    <w:rsid w:val="000D2AA9"/>
    <w:rsid w:val="000D3558"/>
    <w:rsid w:val="000D3D0E"/>
    <w:rsid w:val="000D4D30"/>
    <w:rsid w:val="000D4D9A"/>
    <w:rsid w:val="000D552B"/>
    <w:rsid w:val="000D5859"/>
    <w:rsid w:val="000D5E7E"/>
    <w:rsid w:val="000D6204"/>
    <w:rsid w:val="000D6E02"/>
    <w:rsid w:val="000D6E67"/>
    <w:rsid w:val="000D7554"/>
    <w:rsid w:val="000E0A57"/>
    <w:rsid w:val="000E1B0E"/>
    <w:rsid w:val="000E51F1"/>
    <w:rsid w:val="000E59A1"/>
    <w:rsid w:val="000E671B"/>
    <w:rsid w:val="000E6A72"/>
    <w:rsid w:val="000E7137"/>
    <w:rsid w:val="000E790A"/>
    <w:rsid w:val="000E7C5F"/>
    <w:rsid w:val="000F0EF0"/>
    <w:rsid w:val="000F15C9"/>
    <w:rsid w:val="000F227F"/>
    <w:rsid w:val="000F3638"/>
    <w:rsid w:val="000F415B"/>
    <w:rsid w:val="000F56A7"/>
    <w:rsid w:val="000F5CA6"/>
    <w:rsid w:val="000F7344"/>
    <w:rsid w:val="00111526"/>
    <w:rsid w:val="00112843"/>
    <w:rsid w:val="0011311E"/>
    <w:rsid w:val="00113625"/>
    <w:rsid w:val="001139DB"/>
    <w:rsid w:val="00115493"/>
    <w:rsid w:val="0011557B"/>
    <w:rsid w:val="00116407"/>
    <w:rsid w:val="00116449"/>
    <w:rsid w:val="001202AC"/>
    <w:rsid w:val="00120AC8"/>
    <w:rsid w:val="00120CD9"/>
    <w:rsid w:val="0012106F"/>
    <w:rsid w:val="001217D1"/>
    <w:rsid w:val="00121CD4"/>
    <w:rsid w:val="001223A2"/>
    <w:rsid w:val="0012416B"/>
    <w:rsid w:val="00126FCA"/>
    <w:rsid w:val="0012748B"/>
    <w:rsid w:val="001274F5"/>
    <w:rsid w:val="0012780E"/>
    <w:rsid w:val="0013098A"/>
    <w:rsid w:val="00130C11"/>
    <w:rsid w:val="00130FA9"/>
    <w:rsid w:val="001313FC"/>
    <w:rsid w:val="00131F7E"/>
    <w:rsid w:val="00135CB9"/>
    <w:rsid w:val="0013683E"/>
    <w:rsid w:val="001378CD"/>
    <w:rsid w:val="00137965"/>
    <w:rsid w:val="0013799D"/>
    <w:rsid w:val="00140884"/>
    <w:rsid w:val="00140F01"/>
    <w:rsid w:val="0014138D"/>
    <w:rsid w:val="001437FB"/>
    <w:rsid w:val="001449AC"/>
    <w:rsid w:val="00144BD2"/>
    <w:rsid w:val="00144D18"/>
    <w:rsid w:val="00147793"/>
    <w:rsid w:val="00150B7C"/>
    <w:rsid w:val="00150C06"/>
    <w:rsid w:val="00151EB4"/>
    <w:rsid w:val="0015270A"/>
    <w:rsid w:val="00152F76"/>
    <w:rsid w:val="001542AC"/>
    <w:rsid w:val="0015456D"/>
    <w:rsid w:val="001552CA"/>
    <w:rsid w:val="001558F8"/>
    <w:rsid w:val="001615B3"/>
    <w:rsid w:val="00164246"/>
    <w:rsid w:val="00164C4E"/>
    <w:rsid w:val="00164E00"/>
    <w:rsid w:val="00165B7C"/>
    <w:rsid w:val="001660AF"/>
    <w:rsid w:val="001668E9"/>
    <w:rsid w:val="0016730C"/>
    <w:rsid w:val="001676DC"/>
    <w:rsid w:val="00173522"/>
    <w:rsid w:val="001746D5"/>
    <w:rsid w:val="001748F6"/>
    <w:rsid w:val="00177701"/>
    <w:rsid w:val="00177CEB"/>
    <w:rsid w:val="00177EC1"/>
    <w:rsid w:val="00181152"/>
    <w:rsid w:val="00181AAE"/>
    <w:rsid w:val="00182695"/>
    <w:rsid w:val="00182F23"/>
    <w:rsid w:val="00184043"/>
    <w:rsid w:val="001847D3"/>
    <w:rsid w:val="00184BE0"/>
    <w:rsid w:val="00185A6C"/>
    <w:rsid w:val="001908F0"/>
    <w:rsid w:val="00192036"/>
    <w:rsid w:val="0019293E"/>
    <w:rsid w:val="00192E00"/>
    <w:rsid w:val="001932BE"/>
    <w:rsid w:val="001937D3"/>
    <w:rsid w:val="00194616"/>
    <w:rsid w:val="001957B4"/>
    <w:rsid w:val="00195AA1"/>
    <w:rsid w:val="00195FDA"/>
    <w:rsid w:val="00196A6A"/>
    <w:rsid w:val="0019724E"/>
    <w:rsid w:val="00197427"/>
    <w:rsid w:val="00197750"/>
    <w:rsid w:val="001A0F68"/>
    <w:rsid w:val="001A0F69"/>
    <w:rsid w:val="001A1199"/>
    <w:rsid w:val="001A27AF"/>
    <w:rsid w:val="001A284A"/>
    <w:rsid w:val="001A363D"/>
    <w:rsid w:val="001A57AE"/>
    <w:rsid w:val="001A6441"/>
    <w:rsid w:val="001A65F5"/>
    <w:rsid w:val="001A6FB0"/>
    <w:rsid w:val="001A7D56"/>
    <w:rsid w:val="001B09A1"/>
    <w:rsid w:val="001B0FD7"/>
    <w:rsid w:val="001B1785"/>
    <w:rsid w:val="001B1F68"/>
    <w:rsid w:val="001B2472"/>
    <w:rsid w:val="001B387D"/>
    <w:rsid w:val="001B3EF4"/>
    <w:rsid w:val="001B45FE"/>
    <w:rsid w:val="001B46D2"/>
    <w:rsid w:val="001B4802"/>
    <w:rsid w:val="001B4CD7"/>
    <w:rsid w:val="001B5D55"/>
    <w:rsid w:val="001B7D0D"/>
    <w:rsid w:val="001B7DAF"/>
    <w:rsid w:val="001C07EE"/>
    <w:rsid w:val="001C0BCF"/>
    <w:rsid w:val="001C0FD5"/>
    <w:rsid w:val="001C47A1"/>
    <w:rsid w:val="001C48C9"/>
    <w:rsid w:val="001C4A11"/>
    <w:rsid w:val="001C630E"/>
    <w:rsid w:val="001C71C3"/>
    <w:rsid w:val="001C7E45"/>
    <w:rsid w:val="001D0ADC"/>
    <w:rsid w:val="001D1BB6"/>
    <w:rsid w:val="001D2B03"/>
    <w:rsid w:val="001D31CD"/>
    <w:rsid w:val="001D3239"/>
    <w:rsid w:val="001D377D"/>
    <w:rsid w:val="001D4750"/>
    <w:rsid w:val="001D48EE"/>
    <w:rsid w:val="001D4C86"/>
    <w:rsid w:val="001D525D"/>
    <w:rsid w:val="001D6274"/>
    <w:rsid w:val="001D69CD"/>
    <w:rsid w:val="001D6E80"/>
    <w:rsid w:val="001D7327"/>
    <w:rsid w:val="001E07C2"/>
    <w:rsid w:val="001E0FDE"/>
    <w:rsid w:val="001E2A29"/>
    <w:rsid w:val="001E2BC2"/>
    <w:rsid w:val="001E3941"/>
    <w:rsid w:val="001E4AA1"/>
    <w:rsid w:val="001E4DB0"/>
    <w:rsid w:val="001E65A2"/>
    <w:rsid w:val="001E7AB6"/>
    <w:rsid w:val="001F155D"/>
    <w:rsid w:val="001F1F4E"/>
    <w:rsid w:val="001F257C"/>
    <w:rsid w:val="001F25F4"/>
    <w:rsid w:val="001F3BCF"/>
    <w:rsid w:val="001F3F7C"/>
    <w:rsid w:val="001F589A"/>
    <w:rsid w:val="001F70AF"/>
    <w:rsid w:val="00200897"/>
    <w:rsid w:val="00201633"/>
    <w:rsid w:val="002038EF"/>
    <w:rsid w:val="0020608B"/>
    <w:rsid w:val="00207043"/>
    <w:rsid w:val="002073A0"/>
    <w:rsid w:val="00211776"/>
    <w:rsid w:val="00212813"/>
    <w:rsid w:val="00212EC3"/>
    <w:rsid w:val="00213461"/>
    <w:rsid w:val="002135EA"/>
    <w:rsid w:val="002149C8"/>
    <w:rsid w:val="00215FFF"/>
    <w:rsid w:val="002176E4"/>
    <w:rsid w:val="002178F4"/>
    <w:rsid w:val="00217CB8"/>
    <w:rsid w:val="00220007"/>
    <w:rsid w:val="00220137"/>
    <w:rsid w:val="002218B9"/>
    <w:rsid w:val="00221A7B"/>
    <w:rsid w:val="00221B3C"/>
    <w:rsid w:val="00221DF4"/>
    <w:rsid w:val="00224A44"/>
    <w:rsid w:val="00225053"/>
    <w:rsid w:val="00225B83"/>
    <w:rsid w:val="00225EF4"/>
    <w:rsid w:val="00225FCA"/>
    <w:rsid w:val="00226003"/>
    <w:rsid w:val="00227487"/>
    <w:rsid w:val="00227CE8"/>
    <w:rsid w:val="0023099B"/>
    <w:rsid w:val="00230FDC"/>
    <w:rsid w:val="002320D4"/>
    <w:rsid w:val="00233BBA"/>
    <w:rsid w:val="00233BD8"/>
    <w:rsid w:val="00234891"/>
    <w:rsid w:val="00234DC3"/>
    <w:rsid w:val="00234E54"/>
    <w:rsid w:val="002358C7"/>
    <w:rsid w:val="0023625A"/>
    <w:rsid w:val="002367CD"/>
    <w:rsid w:val="002369A0"/>
    <w:rsid w:val="002371E3"/>
    <w:rsid w:val="002372E9"/>
    <w:rsid w:val="00240CF6"/>
    <w:rsid w:val="002412E2"/>
    <w:rsid w:val="00242005"/>
    <w:rsid w:val="0024256B"/>
    <w:rsid w:val="00242AE6"/>
    <w:rsid w:val="00242CD2"/>
    <w:rsid w:val="002438E7"/>
    <w:rsid w:val="00244B90"/>
    <w:rsid w:val="00244F69"/>
    <w:rsid w:val="002455C2"/>
    <w:rsid w:val="002456F0"/>
    <w:rsid w:val="00245EF3"/>
    <w:rsid w:val="00246361"/>
    <w:rsid w:val="00246A43"/>
    <w:rsid w:val="00247D06"/>
    <w:rsid w:val="002520A6"/>
    <w:rsid w:val="002534A7"/>
    <w:rsid w:val="00255872"/>
    <w:rsid w:val="00255E0C"/>
    <w:rsid w:val="00256494"/>
    <w:rsid w:val="00256661"/>
    <w:rsid w:val="00256FAF"/>
    <w:rsid w:val="00257BA8"/>
    <w:rsid w:val="00260365"/>
    <w:rsid w:val="002607A7"/>
    <w:rsid w:val="00260807"/>
    <w:rsid w:val="0026259E"/>
    <w:rsid w:val="00263BF9"/>
    <w:rsid w:val="00265A1D"/>
    <w:rsid w:val="0026728E"/>
    <w:rsid w:val="002676C6"/>
    <w:rsid w:val="00267D32"/>
    <w:rsid w:val="00270041"/>
    <w:rsid w:val="002708AD"/>
    <w:rsid w:val="00271373"/>
    <w:rsid w:val="00271521"/>
    <w:rsid w:val="00271A92"/>
    <w:rsid w:val="00272084"/>
    <w:rsid w:val="00272C6D"/>
    <w:rsid w:val="002741AD"/>
    <w:rsid w:val="00274ED3"/>
    <w:rsid w:val="0027559D"/>
    <w:rsid w:val="00276C8D"/>
    <w:rsid w:val="00277823"/>
    <w:rsid w:val="0028004C"/>
    <w:rsid w:val="00280578"/>
    <w:rsid w:val="002835F3"/>
    <w:rsid w:val="00283B4E"/>
    <w:rsid w:val="00286640"/>
    <w:rsid w:val="002876D6"/>
    <w:rsid w:val="00287A7B"/>
    <w:rsid w:val="00290346"/>
    <w:rsid w:val="00290610"/>
    <w:rsid w:val="002907F9"/>
    <w:rsid w:val="00290A10"/>
    <w:rsid w:val="00291449"/>
    <w:rsid w:val="00292102"/>
    <w:rsid w:val="00292B16"/>
    <w:rsid w:val="00292B78"/>
    <w:rsid w:val="00292D04"/>
    <w:rsid w:val="002935CF"/>
    <w:rsid w:val="00293CB5"/>
    <w:rsid w:val="002945EA"/>
    <w:rsid w:val="00295307"/>
    <w:rsid w:val="00295385"/>
    <w:rsid w:val="00295D92"/>
    <w:rsid w:val="002960B1"/>
    <w:rsid w:val="00297F35"/>
    <w:rsid w:val="002A012C"/>
    <w:rsid w:val="002A0282"/>
    <w:rsid w:val="002A0C24"/>
    <w:rsid w:val="002A11E5"/>
    <w:rsid w:val="002A21E9"/>
    <w:rsid w:val="002A2EE6"/>
    <w:rsid w:val="002A384A"/>
    <w:rsid w:val="002A44B6"/>
    <w:rsid w:val="002A451A"/>
    <w:rsid w:val="002A4C2D"/>
    <w:rsid w:val="002A5BEB"/>
    <w:rsid w:val="002A726F"/>
    <w:rsid w:val="002B0E9F"/>
    <w:rsid w:val="002B191B"/>
    <w:rsid w:val="002B1CF7"/>
    <w:rsid w:val="002B1F13"/>
    <w:rsid w:val="002B22CA"/>
    <w:rsid w:val="002B446D"/>
    <w:rsid w:val="002B5C1A"/>
    <w:rsid w:val="002B617A"/>
    <w:rsid w:val="002B7AE2"/>
    <w:rsid w:val="002B7DF1"/>
    <w:rsid w:val="002C0DD7"/>
    <w:rsid w:val="002C30B8"/>
    <w:rsid w:val="002C4A4C"/>
    <w:rsid w:val="002C4E7B"/>
    <w:rsid w:val="002C4EED"/>
    <w:rsid w:val="002C61E2"/>
    <w:rsid w:val="002C67B0"/>
    <w:rsid w:val="002C7532"/>
    <w:rsid w:val="002D001B"/>
    <w:rsid w:val="002D1C3E"/>
    <w:rsid w:val="002D1C98"/>
    <w:rsid w:val="002D1CBC"/>
    <w:rsid w:val="002D25EE"/>
    <w:rsid w:val="002D2D38"/>
    <w:rsid w:val="002D3612"/>
    <w:rsid w:val="002D3E94"/>
    <w:rsid w:val="002D5093"/>
    <w:rsid w:val="002D6EC1"/>
    <w:rsid w:val="002E099C"/>
    <w:rsid w:val="002E1763"/>
    <w:rsid w:val="002E25C1"/>
    <w:rsid w:val="002E3263"/>
    <w:rsid w:val="002E377F"/>
    <w:rsid w:val="002E37D4"/>
    <w:rsid w:val="002E38CC"/>
    <w:rsid w:val="002E4B83"/>
    <w:rsid w:val="002E5D51"/>
    <w:rsid w:val="002E6321"/>
    <w:rsid w:val="002F0826"/>
    <w:rsid w:val="002F0920"/>
    <w:rsid w:val="002F2592"/>
    <w:rsid w:val="002F2FF0"/>
    <w:rsid w:val="002F3CF3"/>
    <w:rsid w:val="002F4201"/>
    <w:rsid w:val="002F4247"/>
    <w:rsid w:val="002F50C1"/>
    <w:rsid w:val="002F609B"/>
    <w:rsid w:val="002F67BE"/>
    <w:rsid w:val="002F6E83"/>
    <w:rsid w:val="002F74AB"/>
    <w:rsid w:val="00300A10"/>
    <w:rsid w:val="00302D61"/>
    <w:rsid w:val="00303BB2"/>
    <w:rsid w:val="0030446C"/>
    <w:rsid w:val="00304726"/>
    <w:rsid w:val="003051E2"/>
    <w:rsid w:val="00306753"/>
    <w:rsid w:val="003067EB"/>
    <w:rsid w:val="0031088F"/>
    <w:rsid w:val="00310C20"/>
    <w:rsid w:val="00311B44"/>
    <w:rsid w:val="003120EA"/>
    <w:rsid w:val="0031354B"/>
    <w:rsid w:val="003136D4"/>
    <w:rsid w:val="0031374B"/>
    <w:rsid w:val="003139E4"/>
    <w:rsid w:val="00313CCB"/>
    <w:rsid w:val="0031468F"/>
    <w:rsid w:val="00314710"/>
    <w:rsid w:val="003152EC"/>
    <w:rsid w:val="003153EF"/>
    <w:rsid w:val="0031588C"/>
    <w:rsid w:val="00315CE8"/>
    <w:rsid w:val="00317224"/>
    <w:rsid w:val="003175FE"/>
    <w:rsid w:val="00317FD1"/>
    <w:rsid w:val="00320264"/>
    <w:rsid w:val="00321826"/>
    <w:rsid w:val="0032289C"/>
    <w:rsid w:val="0032361E"/>
    <w:rsid w:val="00324778"/>
    <w:rsid w:val="00324914"/>
    <w:rsid w:val="003270E2"/>
    <w:rsid w:val="0033019A"/>
    <w:rsid w:val="00330D1A"/>
    <w:rsid w:val="0033107F"/>
    <w:rsid w:val="00331CBF"/>
    <w:rsid w:val="00333A78"/>
    <w:rsid w:val="00333ACE"/>
    <w:rsid w:val="00333FDD"/>
    <w:rsid w:val="00335B41"/>
    <w:rsid w:val="00337FF3"/>
    <w:rsid w:val="00341422"/>
    <w:rsid w:val="00341714"/>
    <w:rsid w:val="00342465"/>
    <w:rsid w:val="003425A7"/>
    <w:rsid w:val="00344A9A"/>
    <w:rsid w:val="00345011"/>
    <w:rsid w:val="00345893"/>
    <w:rsid w:val="00347BC6"/>
    <w:rsid w:val="003502FE"/>
    <w:rsid w:val="003519A4"/>
    <w:rsid w:val="00352191"/>
    <w:rsid w:val="00353865"/>
    <w:rsid w:val="003546C1"/>
    <w:rsid w:val="00354C87"/>
    <w:rsid w:val="0035578C"/>
    <w:rsid w:val="00355F03"/>
    <w:rsid w:val="00356201"/>
    <w:rsid w:val="00357B51"/>
    <w:rsid w:val="00360619"/>
    <w:rsid w:val="003614F8"/>
    <w:rsid w:val="003617EB"/>
    <w:rsid w:val="00361C13"/>
    <w:rsid w:val="00361E4A"/>
    <w:rsid w:val="00363769"/>
    <w:rsid w:val="00364CEE"/>
    <w:rsid w:val="00365DC0"/>
    <w:rsid w:val="00366217"/>
    <w:rsid w:val="00367034"/>
    <w:rsid w:val="00367067"/>
    <w:rsid w:val="003678E6"/>
    <w:rsid w:val="00367E4D"/>
    <w:rsid w:val="0037234C"/>
    <w:rsid w:val="00375F23"/>
    <w:rsid w:val="00376831"/>
    <w:rsid w:val="00377549"/>
    <w:rsid w:val="0038002B"/>
    <w:rsid w:val="003802EF"/>
    <w:rsid w:val="00381068"/>
    <w:rsid w:val="003810A8"/>
    <w:rsid w:val="00381925"/>
    <w:rsid w:val="00381B1F"/>
    <w:rsid w:val="00381FA1"/>
    <w:rsid w:val="00382C1E"/>
    <w:rsid w:val="00383552"/>
    <w:rsid w:val="003837C6"/>
    <w:rsid w:val="00383F57"/>
    <w:rsid w:val="00384CE3"/>
    <w:rsid w:val="0038503E"/>
    <w:rsid w:val="0038677A"/>
    <w:rsid w:val="0038679D"/>
    <w:rsid w:val="0038699D"/>
    <w:rsid w:val="00386FBD"/>
    <w:rsid w:val="00387CEF"/>
    <w:rsid w:val="00387D84"/>
    <w:rsid w:val="003900D5"/>
    <w:rsid w:val="003907F6"/>
    <w:rsid w:val="00390E57"/>
    <w:rsid w:val="00390F3C"/>
    <w:rsid w:val="003923CB"/>
    <w:rsid w:val="00392AE2"/>
    <w:rsid w:val="003933CB"/>
    <w:rsid w:val="00395B4C"/>
    <w:rsid w:val="00395F6B"/>
    <w:rsid w:val="00396170"/>
    <w:rsid w:val="003975E2"/>
    <w:rsid w:val="003A0797"/>
    <w:rsid w:val="003A07AB"/>
    <w:rsid w:val="003A0A20"/>
    <w:rsid w:val="003A1BA3"/>
    <w:rsid w:val="003A2821"/>
    <w:rsid w:val="003A47C4"/>
    <w:rsid w:val="003A4823"/>
    <w:rsid w:val="003A5074"/>
    <w:rsid w:val="003A562F"/>
    <w:rsid w:val="003A60AF"/>
    <w:rsid w:val="003A66CC"/>
    <w:rsid w:val="003B012A"/>
    <w:rsid w:val="003B2510"/>
    <w:rsid w:val="003B36D2"/>
    <w:rsid w:val="003B412D"/>
    <w:rsid w:val="003B4767"/>
    <w:rsid w:val="003B5501"/>
    <w:rsid w:val="003B65C6"/>
    <w:rsid w:val="003B7A8B"/>
    <w:rsid w:val="003C0600"/>
    <w:rsid w:val="003C2194"/>
    <w:rsid w:val="003C2442"/>
    <w:rsid w:val="003C37CA"/>
    <w:rsid w:val="003C51C6"/>
    <w:rsid w:val="003D0012"/>
    <w:rsid w:val="003D046C"/>
    <w:rsid w:val="003D484E"/>
    <w:rsid w:val="003D5D6A"/>
    <w:rsid w:val="003D6A40"/>
    <w:rsid w:val="003D70C9"/>
    <w:rsid w:val="003D7FEF"/>
    <w:rsid w:val="003E03A0"/>
    <w:rsid w:val="003E4FEC"/>
    <w:rsid w:val="003E5579"/>
    <w:rsid w:val="003E5838"/>
    <w:rsid w:val="003E5A95"/>
    <w:rsid w:val="003E5D70"/>
    <w:rsid w:val="003E630E"/>
    <w:rsid w:val="003E6A13"/>
    <w:rsid w:val="003E7AEB"/>
    <w:rsid w:val="003E7B03"/>
    <w:rsid w:val="003F06A8"/>
    <w:rsid w:val="003F1186"/>
    <w:rsid w:val="003F2E4B"/>
    <w:rsid w:val="003F3437"/>
    <w:rsid w:val="003F428F"/>
    <w:rsid w:val="003F4AC9"/>
    <w:rsid w:val="003F5543"/>
    <w:rsid w:val="003F692E"/>
    <w:rsid w:val="0040011B"/>
    <w:rsid w:val="004001D8"/>
    <w:rsid w:val="00400613"/>
    <w:rsid w:val="00400A3E"/>
    <w:rsid w:val="00402844"/>
    <w:rsid w:val="00402A05"/>
    <w:rsid w:val="0040433D"/>
    <w:rsid w:val="004052B0"/>
    <w:rsid w:val="00405482"/>
    <w:rsid w:val="00406C90"/>
    <w:rsid w:val="00411170"/>
    <w:rsid w:val="004115AA"/>
    <w:rsid w:val="00412184"/>
    <w:rsid w:val="00413552"/>
    <w:rsid w:val="00413973"/>
    <w:rsid w:val="004152A8"/>
    <w:rsid w:val="0041550E"/>
    <w:rsid w:val="00415761"/>
    <w:rsid w:val="00415B96"/>
    <w:rsid w:val="00416B86"/>
    <w:rsid w:val="00422460"/>
    <w:rsid w:val="00422F7C"/>
    <w:rsid w:val="0042367C"/>
    <w:rsid w:val="00424984"/>
    <w:rsid w:val="00425797"/>
    <w:rsid w:val="00430515"/>
    <w:rsid w:val="00430DDA"/>
    <w:rsid w:val="00432470"/>
    <w:rsid w:val="004324B7"/>
    <w:rsid w:val="004338F2"/>
    <w:rsid w:val="00434667"/>
    <w:rsid w:val="00434823"/>
    <w:rsid w:val="004360D4"/>
    <w:rsid w:val="00437DBA"/>
    <w:rsid w:val="00440A3E"/>
    <w:rsid w:val="00440FCE"/>
    <w:rsid w:val="00441F95"/>
    <w:rsid w:val="00442B79"/>
    <w:rsid w:val="004444AB"/>
    <w:rsid w:val="00444995"/>
    <w:rsid w:val="0044584F"/>
    <w:rsid w:val="004459FC"/>
    <w:rsid w:val="00445B3D"/>
    <w:rsid w:val="004462C1"/>
    <w:rsid w:val="00446DC1"/>
    <w:rsid w:val="004477D8"/>
    <w:rsid w:val="00450E6B"/>
    <w:rsid w:val="00454882"/>
    <w:rsid w:val="004550B6"/>
    <w:rsid w:val="0045529D"/>
    <w:rsid w:val="00456185"/>
    <w:rsid w:val="00456EEC"/>
    <w:rsid w:val="0045706D"/>
    <w:rsid w:val="00457607"/>
    <w:rsid w:val="004577DA"/>
    <w:rsid w:val="0046159E"/>
    <w:rsid w:val="0046318C"/>
    <w:rsid w:val="0046497B"/>
    <w:rsid w:val="00464E23"/>
    <w:rsid w:val="00465422"/>
    <w:rsid w:val="004657E1"/>
    <w:rsid w:val="00466683"/>
    <w:rsid w:val="00466CAC"/>
    <w:rsid w:val="004675CF"/>
    <w:rsid w:val="00467A8E"/>
    <w:rsid w:val="0047092C"/>
    <w:rsid w:val="00470A1F"/>
    <w:rsid w:val="00471F5C"/>
    <w:rsid w:val="00472690"/>
    <w:rsid w:val="004741BB"/>
    <w:rsid w:val="004752A8"/>
    <w:rsid w:val="00475770"/>
    <w:rsid w:val="00475859"/>
    <w:rsid w:val="004758B5"/>
    <w:rsid w:val="004759C9"/>
    <w:rsid w:val="00475A67"/>
    <w:rsid w:val="00475BB2"/>
    <w:rsid w:val="00475FEC"/>
    <w:rsid w:val="00476BDE"/>
    <w:rsid w:val="00476C6E"/>
    <w:rsid w:val="00477D64"/>
    <w:rsid w:val="004801CD"/>
    <w:rsid w:val="00480492"/>
    <w:rsid w:val="00480572"/>
    <w:rsid w:val="0048171D"/>
    <w:rsid w:val="00481B20"/>
    <w:rsid w:val="0048233D"/>
    <w:rsid w:val="004839B4"/>
    <w:rsid w:val="0048461D"/>
    <w:rsid w:val="0048548D"/>
    <w:rsid w:val="00486E8B"/>
    <w:rsid w:val="00487175"/>
    <w:rsid w:val="004874A2"/>
    <w:rsid w:val="00487943"/>
    <w:rsid w:val="00487B64"/>
    <w:rsid w:val="0049003F"/>
    <w:rsid w:val="00490825"/>
    <w:rsid w:val="00491139"/>
    <w:rsid w:val="00493BF7"/>
    <w:rsid w:val="0049553A"/>
    <w:rsid w:val="00495694"/>
    <w:rsid w:val="00495C5E"/>
    <w:rsid w:val="00496849"/>
    <w:rsid w:val="004970C6"/>
    <w:rsid w:val="0049753E"/>
    <w:rsid w:val="0049765C"/>
    <w:rsid w:val="00497A4C"/>
    <w:rsid w:val="004A0849"/>
    <w:rsid w:val="004A09C8"/>
    <w:rsid w:val="004A2834"/>
    <w:rsid w:val="004A4DB0"/>
    <w:rsid w:val="004A4E95"/>
    <w:rsid w:val="004A67E1"/>
    <w:rsid w:val="004A74FF"/>
    <w:rsid w:val="004A7591"/>
    <w:rsid w:val="004B11D7"/>
    <w:rsid w:val="004B2266"/>
    <w:rsid w:val="004B269A"/>
    <w:rsid w:val="004B2794"/>
    <w:rsid w:val="004B3677"/>
    <w:rsid w:val="004B441A"/>
    <w:rsid w:val="004B5302"/>
    <w:rsid w:val="004B629C"/>
    <w:rsid w:val="004B660B"/>
    <w:rsid w:val="004B73E1"/>
    <w:rsid w:val="004C1C85"/>
    <w:rsid w:val="004C3142"/>
    <w:rsid w:val="004C333B"/>
    <w:rsid w:val="004C4B49"/>
    <w:rsid w:val="004C4D35"/>
    <w:rsid w:val="004C54A1"/>
    <w:rsid w:val="004C69EB"/>
    <w:rsid w:val="004C6E4A"/>
    <w:rsid w:val="004D1A8F"/>
    <w:rsid w:val="004D1DD7"/>
    <w:rsid w:val="004D202B"/>
    <w:rsid w:val="004D231C"/>
    <w:rsid w:val="004D2956"/>
    <w:rsid w:val="004D2C85"/>
    <w:rsid w:val="004D2C8C"/>
    <w:rsid w:val="004D3398"/>
    <w:rsid w:val="004D36E7"/>
    <w:rsid w:val="004D3E47"/>
    <w:rsid w:val="004D3FC5"/>
    <w:rsid w:val="004D4363"/>
    <w:rsid w:val="004D4BFA"/>
    <w:rsid w:val="004D4FCC"/>
    <w:rsid w:val="004D540F"/>
    <w:rsid w:val="004D5BBD"/>
    <w:rsid w:val="004D5EDE"/>
    <w:rsid w:val="004D66E0"/>
    <w:rsid w:val="004E1622"/>
    <w:rsid w:val="004E20D7"/>
    <w:rsid w:val="004E2DDA"/>
    <w:rsid w:val="004E4210"/>
    <w:rsid w:val="004E454C"/>
    <w:rsid w:val="004E5165"/>
    <w:rsid w:val="004E70BD"/>
    <w:rsid w:val="004E7311"/>
    <w:rsid w:val="004E7A09"/>
    <w:rsid w:val="004F1E4F"/>
    <w:rsid w:val="004F356E"/>
    <w:rsid w:val="004F49C0"/>
    <w:rsid w:val="004F50F2"/>
    <w:rsid w:val="004F5A28"/>
    <w:rsid w:val="004F5EF2"/>
    <w:rsid w:val="004F6873"/>
    <w:rsid w:val="004F79E6"/>
    <w:rsid w:val="00501005"/>
    <w:rsid w:val="005010F0"/>
    <w:rsid w:val="005029A8"/>
    <w:rsid w:val="00503A01"/>
    <w:rsid w:val="0050433D"/>
    <w:rsid w:val="00506A1A"/>
    <w:rsid w:val="00507613"/>
    <w:rsid w:val="00511594"/>
    <w:rsid w:val="00512828"/>
    <w:rsid w:val="005145C0"/>
    <w:rsid w:val="00514843"/>
    <w:rsid w:val="00515579"/>
    <w:rsid w:val="00515B81"/>
    <w:rsid w:val="00521236"/>
    <w:rsid w:val="00521F83"/>
    <w:rsid w:val="00523259"/>
    <w:rsid w:val="0052386E"/>
    <w:rsid w:val="00523B7A"/>
    <w:rsid w:val="005242D0"/>
    <w:rsid w:val="00524804"/>
    <w:rsid w:val="0052654C"/>
    <w:rsid w:val="005322E5"/>
    <w:rsid w:val="00532BF0"/>
    <w:rsid w:val="00533300"/>
    <w:rsid w:val="00534193"/>
    <w:rsid w:val="00534C63"/>
    <w:rsid w:val="00534ECE"/>
    <w:rsid w:val="00535F43"/>
    <w:rsid w:val="0053688A"/>
    <w:rsid w:val="005368BD"/>
    <w:rsid w:val="00536C95"/>
    <w:rsid w:val="00540561"/>
    <w:rsid w:val="00542E03"/>
    <w:rsid w:val="0054482E"/>
    <w:rsid w:val="00546F7C"/>
    <w:rsid w:val="00550262"/>
    <w:rsid w:val="005507DC"/>
    <w:rsid w:val="0055155E"/>
    <w:rsid w:val="005522A9"/>
    <w:rsid w:val="005529CF"/>
    <w:rsid w:val="005546D6"/>
    <w:rsid w:val="005569E7"/>
    <w:rsid w:val="00556D23"/>
    <w:rsid w:val="00557006"/>
    <w:rsid w:val="005611AE"/>
    <w:rsid w:val="0056176E"/>
    <w:rsid w:val="005632C6"/>
    <w:rsid w:val="00565040"/>
    <w:rsid w:val="005657D5"/>
    <w:rsid w:val="00565F14"/>
    <w:rsid w:val="00566EF9"/>
    <w:rsid w:val="00571021"/>
    <w:rsid w:val="00571232"/>
    <w:rsid w:val="0057168F"/>
    <w:rsid w:val="00572D4B"/>
    <w:rsid w:val="005748BF"/>
    <w:rsid w:val="0057499F"/>
    <w:rsid w:val="005750D2"/>
    <w:rsid w:val="0057656E"/>
    <w:rsid w:val="00577F4E"/>
    <w:rsid w:val="00580A8B"/>
    <w:rsid w:val="00581A04"/>
    <w:rsid w:val="00581EF9"/>
    <w:rsid w:val="00583A3C"/>
    <w:rsid w:val="00584074"/>
    <w:rsid w:val="005843C1"/>
    <w:rsid w:val="005903CF"/>
    <w:rsid w:val="005955D5"/>
    <w:rsid w:val="00595EF4"/>
    <w:rsid w:val="00596A9D"/>
    <w:rsid w:val="00596B0C"/>
    <w:rsid w:val="0059728D"/>
    <w:rsid w:val="00597A74"/>
    <w:rsid w:val="005A005E"/>
    <w:rsid w:val="005A0201"/>
    <w:rsid w:val="005A0DB0"/>
    <w:rsid w:val="005A1447"/>
    <w:rsid w:val="005A292A"/>
    <w:rsid w:val="005A2973"/>
    <w:rsid w:val="005A3264"/>
    <w:rsid w:val="005A508A"/>
    <w:rsid w:val="005A6FE9"/>
    <w:rsid w:val="005A7AFC"/>
    <w:rsid w:val="005B0F74"/>
    <w:rsid w:val="005B165A"/>
    <w:rsid w:val="005B1CD2"/>
    <w:rsid w:val="005B29A3"/>
    <w:rsid w:val="005B356E"/>
    <w:rsid w:val="005B5B3C"/>
    <w:rsid w:val="005B6036"/>
    <w:rsid w:val="005B7BB1"/>
    <w:rsid w:val="005C1DE9"/>
    <w:rsid w:val="005C2604"/>
    <w:rsid w:val="005C2B92"/>
    <w:rsid w:val="005C2E0A"/>
    <w:rsid w:val="005C4093"/>
    <w:rsid w:val="005C40E5"/>
    <w:rsid w:val="005C484E"/>
    <w:rsid w:val="005C582D"/>
    <w:rsid w:val="005C65BC"/>
    <w:rsid w:val="005C7DE9"/>
    <w:rsid w:val="005D0394"/>
    <w:rsid w:val="005D10C6"/>
    <w:rsid w:val="005D1179"/>
    <w:rsid w:val="005D3189"/>
    <w:rsid w:val="005D3A9A"/>
    <w:rsid w:val="005D569F"/>
    <w:rsid w:val="005D5ACF"/>
    <w:rsid w:val="005D60FC"/>
    <w:rsid w:val="005D6816"/>
    <w:rsid w:val="005D7F2C"/>
    <w:rsid w:val="005E1C54"/>
    <w:rsid w:val="005E1E8B"/>
    <w:rsid w:val="005E2316"/>
    <w:rsid w:val="005E25E0"/>
    <w:rsid w:val="005E276B"/>
    <w:rsid w:val="005E3BFB"/>
    <w:rsid w:val="005E415E"/>
    <w:rsid w:val="005E4E25"/>
    <w:rsid w:val="005E73F3"/>
    <w:rsid w:val="005E77C2"/>
    <w:rsid w:val="005E7A6C"/>
    <w:rsid w:val="005E7C81"/>
    <w:rsid w:val="005E7DBB"/>
    <w:rsid w:val="005E7E0D"/>
    <w:rsid w:val="005F0469"/>
    <w:rsid w:val="005F184B"/>
    <w:rsid w:val="005F45CF"/>
    <w:rsid w:val="005F56F0"/>
    <w:rsid w:val="005F7785"/>
    <w:rsid w:val="005F79DB"/>
    <w:rsid w:val="006003E8"/>
    <w:rsid w:val="00601726"/>
    <w:rsid w:val="00601AAD"/>
    <w:rsid w:val="00601CCB"/>
    <w:rsid w:val="00603135"/>
    <w:rsid w:val="006031D5"/>
    <w:rsid w:val="00603B31"/>
    <w:rsid w:val="00603CC1"/>
    <w:rsid w:val="00604692"/>
    <w:rsid w:val="00604864"/>
    <w:rsid w:val="00606826"/>
    <w:rsid w:val="006071D8"/>
    <w:rsid w:val="00607D3A"/>
    <w:rsid w:val="0061052F"/>
    <w:rsid w:val="006115D9"/>
    <w:rsid w:val="00611CDB"/>
    <w:rsid w:val="00612737"/>
    <w:rsid w:val="00612E48"/>
    <w:rsid w:val="00613499"/>
    <w:rsid w:val="006154D1"/>
    <w:rsid w:val="006158A2"/>
    <w:rsid w:val="00615B8A"/>
    <w:rsid w:val="00615FC6"/>
    <w:rsid w:val="00616AAB"/>
    <w:rsid w:val="00616EF3"/>
    <w:rsid w:val="00617629"/>
    <w:rsid w:val="0061770A"/>
    <w:rsid w:val="00617EAD"/>
    <w:rsid w:val="0062000A"/>
    <w:rsid w:val="006203AD"/>
    <w:rsid w:val="006210DA"/>
    <w:rsid w:val="006210EC"/>
    <w:rsid w:val="00621E14"/>
    <w:rsid w:val="006224E6"/>
    <w:rsid w:val="0062271A"/>
    <w:rsid w:val="00622825"/>
    <w:rsid w:val="00623183"/>
    <w:rsid w:val="006238D7"/>
    <w:rsid w:val="006249EE"/>
    <w:rsid w:val="00624CC4"/>
    <w:rsid w:val="00625A60"/>
    <w:rsid w:val="0062645D"/>
    <w:rsid w:val="0062749A"/>
    <w:rsid w:val="006311EC"/>
    <w:rsid w:val="00631461"/>
    <w:rsid w:val="00632168"/>
    <w:rsid w:val="00632191"/>
    <w:rsid w:val="006327C7"/>
    <w:rsid w:val="006329F0"/>
    <w:rsid w:val="00634198"/>
    <w:rsid w:val="00635C78"/>
    <w:rsid w:val="00635FC6"/>
    <w:rsid w:val="00636857"/>
    <w:rsid w:val="00640249"/>
    <w:rsid w:val="00640F4A"/>
    <w:rsid w:val="00642789"/>
    <w:rsid w:val="00642B33"/>
    <w:rsid w:val="00642D95"/>
    <w:rsid w:val="006453A5"/>
    <w:rsid w:val="00645768"/>
    <w:rsid w:val="00645C8E"/>
    <w:rsid w:val="006460FC"/>
    <w:rsid w:val="00647746"/>
    <w:rsid w:val="00650225"/>
    <w:rsid w:val="00650E5D"/>
    <w:rsid w:val="00651EED"/>
    <w:rsid w:val="00655420"/>
    <w:rsid w:val="006603B3"/>
    <w:rsid w:val="006610F2"/>
    <w:rsid w:val="006613D0"/>
    <w:rsid w:val="00664371"/>
    <w:rsid w:val="00664708"/>
    <w:rsid w:val="00664A98"/>
    <w:rsid w:val="0066632A"/>
    <w:rsid w:val="006667D2"/>
    <w:rsid w:val="00667933"/>
    <w:rsid w:val="00667DC8"/>
    <w:rsid w:val="00670E11"/>
    <w:rsid w:val="0067242C"/>
    <w:rsid w:val="00672D94"/>
    <w:rsid w:val="00673267"/>
    <w:rsid w:val="00673276"/>
    <w:rsid w:val="00676836"/>
    <w:rsid w:val="00676EC3"/>
    <w:rsid w:val="006773B1"/>
    <w:rsid w:val="00677770"/>
    <w:rsid w:val="006824ED"/>
    <w:rsid w:val="00682D5E"/>
    <w:rsid w:val="00682E94"/>
    <w:rsid w:val="0068406D"/>
    <w:rsid w:val="006865BD"/>
    <w:rsid w:val="00686B4E"/>
    <w:rsid w:val="006872CD"/>
    <w:rsid w:val="00687334"/>
    <w:rsid w:val="00687432"/>
    <w:rsid w:val="0069266D"/>
    <w:rsid w:val="00693E2D"/>
    <w:rsid w:val="00693F6B"/>
    <w:rsid w:val="006946B2"/>
    <w:rsid w:val="00694856"/>
    <w:rsid w:val="006955D5"/>
    <w:rsid w:val="006969EA"/>
    <w:rsid w:val="006A0B96"/>
    <w:rsid w:val="006A1869"/>
    <w:rsid w:val="006A21B5"/>
    <w:rsid w:val="006A2BFD"/>
    <w:rsid w:val="006A35C7"/>
    <w:rsid w:val="006A611E"/>
    <w:rsid w:val="006A7979"/>
    <w:rsid w:val="006A7CC7"/>
    <w:rsid w:val="006B06C0"/>
    <w:rsid w:val="006B10CF"/>
    <w:rsid w:val="006B129A"/>
    <w:rsid w:val="006B1C22"/>
    <w:rsid w:val="006B2057"/>
    <w:rsid w:val="006B21D9"/>
    <w:rsid w:val="006B2DDC"/>
    <w:rsid w:val="006B3BBF"/>
    <w:rsid w:val="006B3DF8"/>
    <w:rsid w:val="006B57A2"/>
    <w:rsid w:val="006B5DEE"/>
    <w:rsid w:val="006C10B0"/>
    <w:rsid w:val="006C1596"/>
    <w:rsid w:val="006C479E"/>
    <w:rsid w:val="006C4BC2"/>
    <w:rsid w:val="006C4DF5"/>
    <w:rsid w:val="006C58F4"/>
    <w:rsid w:val="006C6000"/>
    <w:rsid w:val="006C6FE5"/>
    <w:rsid w:val="006D18FA"/>
    <w:rsid w:val="006D259F"/>
    <w:rsid w:val="006D34CD"/>
    <w:rsid w:val="006D546E"/>
    <w:rsid w:val="006D5792"/>
    <w:rsid w:val="006D6CD4"/>
    <w:rsid w:val="006D76A1"/>
    <w:rsid w:val="006E0BAD"/>
    <w:rsid w:val="006E10FC"/>
    <w:rsid w:val="006E1A7C"/>
    <w:rsid w:val="006E1D3A"/>
    <w:rsid w:val="006E28DC"/>
    <w:rsid w:val="006E2F4E"/>
    <w:rsid w:val="006E2F74"/>
    <w:rsid w:val="006E49AA"/>
    <w:rsid w:val="006E5135"/>
    <w:rsid w:val="006E529D"/>
    <w:rsid w:val="006E5ADF"/>
    <w:rsid w:val="006E5BA5"/>
    <w:rsid w:val="006E6179"/>
    <w:rsid w:val="006E6673"/>
    <w:rsid w:val="006F019C"/>
    <w:rsid w:val="006F0D65"/>
    <w:rsid w:val="006F3AB6"/>
    <w:rsid w:val="006F4345"/>
    <w:rsid w:val="006F577B"/>
    <w:rsid w:val="006F6F62"/>
    <w:rsid w:val="006F7770"/>
    <w:rsid w:val="006F7D62"/>
    <w:rsid w:val="007008E1"/>
    <w:rsid w:val="00700DAF"/>
    <w:rsid w:val="00700FFC"/>
    <w:rsid w:val="007014C4"/>
    <w:rsid w:val="00701C0D"/>
    <w:rsid w:val="00701E1D"/>
    <w:rsid w:val="007021F1"/>
    <w:rsid w:val="007029A4"/>
    <w:rsid w:val="00703001"/>
    <w:rsid w:val="007032A4"/>
    <w:rsid w:val="00703BCC"/>
    <w:rsid w:val="00703BE7"/>
    <w:rsid w:val="0070681D"/>
    <w:rsid w:val="00707BD1"/>
    <w:rsid w:val="0071284C"/>
    <w:rsid w:val="0071461F"/>
    <w:rsid w:val="00715F87"/>
    <w:rsid w:val="0071681C"/>
    <w:rsid w:val="007169D4"/>
    <w:rsid w:val="00722239"/>
    <w:rsid w:val="00722B76"/>
    <w:rsid w:val="0072316B"/>
    <w:rsid w:val="007235AB"/>
    <w:rsid w:val="00723828"/>
    <w:rsid w:val="00723B82"/>
    <w:rsid w:val="00726784"/>
    <w:rsid w:val="00726C0D"/>
    <w:rsid w:val="00727796"/>
    <w:rsid w:val="0073053A"/>
    <w:rsid w:val="00731FF6"/>
    <w:rsid w:val="007323AC"/>
    <w:rsid w:val="00733891"/>
    <w:rsid w:val="00733B26"/>
    <w:rsid w:val="00736CA8"/>
    <w:rsid w:val="007403ED"/>
    <w:rsid w:val="007408D8"/>
    <w:rsid w:val="00740BDB"/>
    <w:rsid w:val="00741EEF"/>
    <w:rsid w:val="00742049"/>
    <w:rsid w:val="0074237C"/>
    <w:rsid w:val="007433DD"/>
    <w:rsid w:val="00744237"/>
    <w:rsid w:val="007443BC"/>
    <w:rsid w:val="0074464C"/>
    <w:rsid w:val="00744E36"/>
    <w:rsid w:val="007450CD"/>
    <w:rsid w:val="00745A14"/>
    <w:rsid w:val="00745D4F"/>
    <w:rsid w:val="007469C7"/>
    <w:rsid w:val="00746E56"/>
    <w:rsid w:val="007507C9"/>
    <w:rsid w:val="0075124E"/>
    <w:rsid w:val="007512D6"/>
    <w:rsid w:val="007527A6"/>
    <w:rsid w:val="00752D15"/>
    <w:rsid w:val="00752E5D"/>
    <w:rsid w:val="00753B8F"/>
    <w:rsid w:val="00753BFE"/>
    <w:rsid w:val="0075647C"/>
    <w:rsid w:val="007564AC"/>
    <w:rsid w:val="00757092"/>
    <w:rsid w:val="007572BC"/>
    <w:rsid w:val="00757C14"/>
    <w:rsid w:val="00757DA9"/>
    <w:rsid w:val="00757DEE"/>
    <w:rsid w:val="00757EE3"/>
    <w:rsid w:val="00762524"/>
    <w:rsid w:val="007633FB"/>
    <w:rsid w:val="00763589"/>
    <w:rsid w:val="007663CC"/>
    <w:rsid w:val="00770390"/>
    <w:rsid w:val="007710A6"/>
    <w:rsid w:val="00771639"/>
    <w:rsid w:val="00771702"/>
    <w:rsid w:val="007719A0"/>
    <w:rsid w:val="00772AC9"/>
    <w:rsid w:val="007732B7"/>
    <w:rsid w:val="0077383C"/>
    <w:rsid w:val="00774BE6"/>
    <w:rsid w:val="00774FD9"/>
    <w:rsid w:val="007817CD"/>
    <w:rsid w:val="00781FB4"/>
    <w:rsid w:val="0078207A"/>
    <w:rsid w:val="00782A04"/>
    <w:rsid w:val="0078498B"/>
    <w:rsid w:val="00786BF3"/>
    <w:rsid w:val="0078729A"/>
    <w:rsid w:val="00787984"/>
    <w:rsid w:val="0079096F"/>
    <w:rsid w:val="007914A7"/>
    <w:rsid w:val="0079234A"/>
    <w:rsid w:val="0079308E"/>
    <w:rsid w:val="007939BD"/>
    <w:rsid w:val="00793F99"/>
    <w:rsid w:val="00794487"/>
    <w:rsid w:val="007947DC"/>
    <w:rsid w:val="007951E5"/>
    <w:rsid w:val="00795B5C"/>
    <w:rsid w:val="00796374"/>
    <w:rsid w:val="00796B0F"/>
    <w:rsid w:val="00796B64"/>
    <w:rsid w:val="00797255"/>
    <w:rsid w:val="00797C7F"/>
    <w:rsid w:val="007A00A0"/>
    <w:rsid w:val="007A02F6"/>
    <w:rsid w:val="007A0AFA"/>
    <w:rsid w:val="007A1572"/>
    <w:rsid w:val="007A2009"/>
    <w:rsid w:val="007A2A8F"/>
    <w:rsid w:val="007A3C3A"/>
    <w:rsid w:val="007A3D5D"/>
    <w:rsid w:val="007A3DDF"/>
    <w:rsid w:val="007A493E"/>
    <w:rsid w:val="007A4C29"/>
    <w:rsid w:val="007A5B2C"/>
    <w:rsid w:val="007A5E82"/>
    <w:rsid w:val="007A726E"/>
    <w:rsid w:val="007A782F"/>
    <w:rsid w:val="007B0650"/>
    <w:rsid w:val="007B0AEA"/>
    <w:rsid w:val="007B1CFC"/>
    <w:rsid w:val="007B260F"/>
    <w:rsid w:val="007B2B27"/>
    <w:rsid w:val="007B37B5"/>
    <w:rsid w:val="007B3B06"/>
    <w:rsid w:val="007B3FF6"/>
    <w:rsid w:val="007B47EA"/>
    <w:rsid w:val="007B57FC"/>
    <w:rsid w:val="007B6427"/>
    <w:rsid w:val="007B68C1"/>
    <w:rsid w:val="007B6D6A"/>
    <w:rsid w:val="007B6DD8"/>
    <w:rsid w:val="007B78A3"/>
    <w:rsid w:val="007B7B1D"/>
    <w:rsid w:val="007C0894"/>
    <w:rsid w:val="007C1092"/>
    <w:rsid w:val="007C11A8"/>
    <w:rsid w:val="007C14F7"/>
    <w:rsid w:val="007C1865"/>
    <w:rsid w:val="007C1C82"/>
    <w:rsid w:val="007C3818"/>
    <w:rsid w:val="007C3B32"/>
    <w:rsid w:val="007C747F"/>
    <w:rsid w:val="007D26C7"/>
    <w:rsid w:val="007D36B3"/>
    <w:rsid w:val="007D3A8B"/>
    <w:rsid w:val="007D65E5"/>
    <w:rsid w:val="007D6905"/>
    <w:rsid w:val="007E043A"/>
    <w:rsid w:val="007E1AE3"/>
    <w:rsid w:val="007E2248"/>
    <w:rsid w:val="007E28B1"/>
    <w:rsid w:val="007E2DB4"/>
    <w:rsid w:val="007E3564"/>
    <w:rsid w:val="007E3806"/>
    <w:rsid w:val="007E4233"/>
    <w:rsid w:val="007E5BEB"/>
    <w:rsid w:val="007E616A"/>
    <w:rsid w:val="007F0D81"/>
    <w:rsid w:val="007F2441"/>
    <w:rsid w:val="007F2B93"/>
    <w:rsid w:val="007F3B1C"/>
    <w:rsid w:val="007F45A1"/>
    <w:rsid w:val="007F7A09"/>
    <w:rsid w:val="007F7E82"/>
    <w:rsid w:val="008000B1"/>
    <w:rsid w:val="00800263"/>
    <w:rsid w:val="00800E68"/>
    <w:rsid w:val="00801AE3"/>
    <w:rsid w:val="008024D2"/>
    <w:rsid w:val="0080338E"/>
    <w:rsid w:val="008042CB"/>
    <w:rsid w:val="00804A9F"/>
    <w:rsid w:val="008064F3"/>
    <w:rsid w:val="0080692A"/>
    <w:rsid w:val="008069D2"/>
    <w:rsid w:val="008070B7"/>
    <w:rsid w:val="0080760B"/>
    <w:rsid w:val="008102A6"/>
    <w:rsid w:val="00810A88"/>
    <w:rsid w:val="00810B13"/>
    <w:rsid w:val="0081107E"/>
    <w:rsid w:val="0081114E"/>
    <w:rsid w:val="0081230B"/>
    <w:rsid w:val="00812371"/>
    <w:rsid w:val="008124F9"/>
    <w:rsid w:val="00812C45"/>
    <w:rsid w:val="00813D75"/>
    <w:rsid w:val="008143D1"/>
    <w:rsid w:val="00814DA1"/>
    <w:rsid w:val="0081536B"/>
    <w:rsid w:val="00816144"/>
    <w:rsid w:val="008165A4"/>
    <w:rsid w:val="00816651"/>
    <w:rsid w:val="008166FD"/>
    <w:rsid w:val="00816DDE"/>
    <w:rsid w:val="00820BC2"/>
    <w:rsid w:val="00820DC8"/>
    <w:rsid w:val="008215A5"/>
    <w:rsid w:val="0082231C"/>
    <w:rsid w:val="00823AE4"/>
    <w:rsid w:val="00824981"/>
    <w:rsid w:val="00825E6B"/>
    <w:rsid w:val="00826FD0"/>
    <w:rsid w:val="00830FF1"/>
    <w:rsid w:val="00835ECF"/>
    <w:rsid w:val="00836098"/>
    <w:rsid w:val="00836D85"/>
    <w:rsid w:val="00836E8C"/>
    <w:rsid w:val="00837958"/>
    <w:rsid w:val="008379E5"/>
    <w:rsid w:val="00837A25"/>
    <w:rsid w:val="00837C9A"/>
    <w:rsid w:val="008404DB"/>
    <w:rsid w:val="0084058B"/>
    <w:rsid w:val="00841D8D"/>
    <w:rsid w:val="00842053"/>
    <w:rsid w:val="008420C6"/>
    <w:rsid w:val="00843306"/>
    <w:rsid w:val="00844F07"/>
    <w:rsid w:val="008458D2"/>
    <w:rsid w:val="00845D86"/>
    <w:rsid w:val="00847330"/>
    <w:rsid w:val="008516B3"/>
    <w:rsid w:val="0085272E"/>
    <w:rsid w:val="00852BB0"/>
    <w:rsid w:val="0085304F"/>
    <w:rsid w:val="0085322D"/>
    <w:rsid w:val="00854346"/>
    <w:rsid w:val="00854B3E"/>
    <w:rsid w:val="00854FD8"/>
    <w:rsid w:val="00855C41"/>
    <w:rsid w:val="00857A6A"/>
    <w:rsid w:val="0086001A"/>
    <w:rsid w:val="00861669"/>
    <w:rsid w:val="00863762"/>
    <w:rsid w:val="00863785"/>
    <w:rsid w:val="008640E8"/>
    <w:rsid w:val="00864A4A"/>
    <w:rsid w:val="0086550E"/>
    <w:rsid w:val="00867547"/>
    <w:rsid w:val="008714B2"/>
    <w:rsid w:val="00876C83"/>
    <w:rsid w:val="008775C8"/>
    <w:rsid w:val="00877730"/>
    <w:rsid w:val="008778F7"/>
    <w:rsid w:val="008800E2"/>
    <w:rsid w:val="0088010C"/>
    <w:rsid w:val="00881F26"/>
    <w:rsid w:val="0088355E"/>
    <w:rsid w:val="00883826"/>
    <w:rsid w:val="00883DD8"/>
    <w:rsid w:val="00886062"/>
    <w:rsid w:val="00886837"/>
    <w:rsid w:val="00886A81"/>
    <w:rsid w:val="00890976"/>
    <w:rsid w:val="008915E2"/>
    <w:rsid w:val="00891BB3"/>
    <w:rsid w:val="008936FC"/>
    <w:rsid w:val="00896982"/>
    <w:rsid w:val="00897FAC"/>
    <w:rsid w:val="008A1791"/>
    <w:rsid w:val="008A1CAB"/>
    <w:rsid w:val="008A20ED"/>
    <w:rsid w:val="008A21BE"/>
    <w:rsid w:val="008A2511"/>
    <w:rsid w:val="008A381C"/>
    <w:rsid w:val="008A3D81"/>
    <w:rsid w:val="008A55A7"/>
    <w:rsid w:val="008A76FC"/>
    <w:rsid w:val="008B16A7"/>
    <w:rsid w:val="008B208B"/>
    <w:rsid w:val="008B231E"/>
    <w:rsid w:val="008B308C"/>
    <w:rsid w:val="008B3DF1"/>
    <w:rsid w:val="008B5C44"/>
    <w:rsid w:val="008B6323"/>
    <w:rsid w:val="008B6605"/>
    <w:rsid w:val="008B6A56"/>
    <w:rsid w:val="008C08BA"/>
    <w:rsid w:val="008C0AE1"/>
    <w:rsid w:val="008C1947"/>
    <w:rsid w:val="008C298B"/>
    <w:rsid w:val="008C47F7"/>
    <w:rsid w:val="008C4F4F"/>
    <w:rsid w:val="008C7993"/>
    <w:rsid w:val="008D1A21"/>
    <w:rsid w:val="008D2BE4"/>
    <w:rsid w:val="008D41B1"/>
    <w:rsid w:val="008D5654"/>
    <w:rsid w:val="008E0AE4"/>
    <w:rsid w:val="008E17F3"/>
    <w:rsid w:val="008E1A6A"/>
    <w:rsid w:val="008E2ABA"/>
    <w:rsid w:val="008E3086"/>
    <w:rsid w:val="008E34F9"/>
    <w:rsid w:val="008E48C7"/>
    <w:rsid w:val="008E5E6A"/>
    <w:rsid w:val="008E6FA0"/>
    <w:rsid w:val="008E7289"/>
    <w:rsid w:val="008E73B6"/>
    <w:rsid w:val="008F0037"/>
    <w:rsid w:val="008F0B0A"/>
    <w:rsid w:val="008F0CFB"/>
    <w:rsid w:val="008F0DC8"/>
    <w:rsid w:val="008F11E7"/>
    <w:rsid w:val="008F126D"/>
    <w:rsid w:val="008F176C"/>
    <w:rsid w:val="008F1A44"/>
    <w:rsid w:val="008F1A9E"/>
    <w:rsid w:val="008F368F"/>
    <w:rsid w:val="008F3AB0"/>
    <w:rsid w:val="008F5024"/>
    <w:rsid w:val="008F6DC1"/>
    <w:rsid w:val="008F7327"/>
    <w:rsid w:val="009002F3"/>
    <w:rsid w:val="009006B9"/>
    <w:rsid w:val="00903B30"/>
    <w:rsid w:val="0090484A"/>
    <w:rsid w:val="0090695F"/>
    <w:rsid w:val="00906BC5"/>
    <w:rsid w:val="009121CA"/>
    <w:rsid w:val="0091226E"/>
    <w:rsid w:val="009138B4"/>
    <w:rsid w:val="009139A7"/>
    <w:rsid w:val="0091405E"/>
    <w:rsid w:val="009144EA"/>
    <w:rsid w:val="009151B5"/>
    <w:rsid w:val="00915AC4"/>
    <w:rsid w:val="0092030F"/>
    <w:rsid w:val="00921733"/>
    <w:rsid w:val="00922DF5"/>
    <w:rsid w:val="00923307"/>
    <w:rsid w:val="009236E0"/>
    <w:rsid w:val="00923A11"/>
    <w:rsid w:val="00923DC7"/>
    <w:rsid w:val="00924CB2"/>
    <w:rsid w:val="0092502D"/>
    <w:rsid w:val="00925091"/>
    <w:rsid w:val="00925AC9"/>
    <w:rsid w:val="00925F1C"/>
    <w:rsid w:val="0092611F"/>
    <w:rsid w:val="00926FB9"/>
    <w:rsid w:val="00927C4D"/>
    <w:rsid w:val="00930496"/>
    <w:rsid w:val="00931429"/>
    <w:rsid w:val="00931CFB"/>
    <w:rsid w:val="00931DFE"/>
    <w:rsid w:val="0093243D"/>
    <w:rsid w:val="00932546"/>
    <w:rsid w:val="00932865"/>
    <w:rsid w:val="00937EBD"/>
    <w:rsid w:val="00940019"/>
    <w:rsid w:val="00941F43"/>
    <w:rsid w:val="0094270A"/>
    <w:rsid w:val="00942E3E"/>
    <w:rsid w:val="0094313B"/>
    <w:rsid w:val="0094467B"/>
    <w:rsid w:val="00945BF2"/>
    <w:rsid w:val="00946BAF"/>
    <w:rsid w:val="00947D40"/>
    <w:rsid w:val="0095031B"/>
    <w:rsid w:val="00950577"/>
    <w:rsid w:val="00950C94"/>
    <w:rsid w:val="00952E5D"/>
    <w:rsid w:val="00953428"/>
    <w:rsid w:val="009538A8"/>
    <w:rsid w:val="00955941"/>
    <w:rsid w:val="00955EDB"/>
    <w:rsid w:val="009561D3"/>
    <w:rsid w:val="00960271"/>
    <w:rsid w:val="00960EC8"/>
    <w:rsid w:val="00961BE9"/>
    <w:rsid w:val="00962329"/>
    <w:rsid w:val="00963A83"/>
    <w:rsid w:val="00963B0F"/>
    <w:rsid w:val="00963D48"/>
    <w:rsid w:val="00964EA5"/>
    <w:rsid w:val="0096654D"/>
    <w:rsid w:val="009665FC"/>
    <w:rsid w:val="00966BA4"/>
    <w:rsid w:val="00970BD7"/>
    <w:rsid w:val="00970EF1"/>
    <w:rsid w:val="0097134F"/>
    <w:rsid w:val="00974134"/>
    <w:rsid w:val="00975E3A"/>
    <w:rsid w:val="009763E0"/>
    <w:rsid w:val="00977131"/>
    <w:rsid w:val="0097735F"/>
    <w:rsid w:val="00980326"/>
    <w:rsid w:val="00981943"/>
    <w:rsid w:val="00981E57"/>
    <w:rsid w:val="00985179"/>
    <w:rsid w:val="00985474"/>
    <w:rsid w:val="00985ABA"/>
    <w:rsid w:val="009865A0"/>
    <w:rsid w:val="0099067A"/>
    <w:rsid w:val="0099178E"/>
    <w:rsid w:val="00991EF5"/>
    <w:rsid w:val="009921EB"/>
    <w:rsid w:val="00993234"/>
    <w:rsid w:val="0099416B"/>
    <w:rsid w:val="0099460C"/>
    <w:rsid w:val="00995BF3"/>
    <w:rsid w:val="00997007"/>
    <w:rsid w:val="009970E4"/>
    <w:rsid w:val="0099728D"/>
    <w:rsid w:val="009972E8"/>
    <w:rsid w:val="0099754E"/>
    <w:rsid w:val="009A0180"/>
    <w:rsid w:val="009A042E"/>
    <w:rsid w:val="009A055F"/>
    <w:rsid w:val="009A2999"/>
    <w:rsid w:val="009A40E3"/>
    <w:rsid w:val="009A686F"/>
    <w:rsid w:val="009A7759"/>
    <w:rsid w:val="009B01A6"/>
    <w:rsid w:val="009B021A"/>
    <w:rsid w:val="009B1BEB"/>
    <w:rsid w:val="009B1F66"/>
    <w:rsid w:val="009B2782"/>
    <w:rsid w:val="009B288E"/>
    <w:rsid w:val="009B29FF"/>
    <w:rsid w:val="009B2D63"/>
    <w:rsid w:val="009B2FB0"/>
    <w:rsid w:val="009B3B4C"/>
    <w:rsid w:val="009B3B8E"/>
    <w:rsid w:val="009B458F"/>
    <w:rsid w:val="009B576A"/>
    <w:rsid w:val="009B79DA"/>
    <w:rsid w:val="009B79FF"/>
    <w:rsid w:val="009B7B8A"/>
    <w:rsid w:val="009C1B86"/>
    <w:rsid w:val="009C1BF2"/>
    <w:rsid w:val="009C2810"/>
    <w:rsid w:val="009C49B4"/>
    <w:rsid w:val="009C5054"/>
    <w:rsid w:val="009C5A6D"/>
    <w:rsid w:val="009C5D75"/>
    <w:rsid w:val="009C5FE8"/>
    <w:rsid w:val="009C66B0"/>
    <w:rsid w:val="009C7257"/>
    <w:rsid w:val="009C7621"/>
    <w:rsid w:val="009D10EA"/>
    <w:rsid w:val="009D1899"/>
    <w:rsid w:val="009D2172"/>
    <w:rsid w:val="009D33BF"/>
    <w:rsid w:val="009D3D96"/>
    <w:rsid w:val="009D45BB"/>
    <w:rsid w:val="009E0DE6"/>
    <w:rsid w:val="009E14A7"/>
    <w:rsid w:val="009E259E"/>
    <w:rsid w:val="009E3294"/>
    <w:rsid w:val="009E3446"/>
    <w:rsid w:val="009E465A"/>
    <w:rsid w:val="009E473F"/>
    <w:rsid w:val="009E4BAC"/>
    <w:rsid w:val="009E663A"/>
    <w:rsid w:val="009E6801"/>
    <w:rsid w:val="009E6A9A"/>
    <w:rsid w:val="009E6ABF"/>
    <w:rsid w:val="009E7EB2"/>
    <w:rsid w:val="009F0429"/>
    <w:rsid w:val="009F1B35"/>
    <w:rsid w:val="009F1CC2"/>
    <w:rsid w:val="009F336B"/>
    <w:rsid w:val="009F3CEE"/>
    <w:rsid w:val="009F4902"/>
    <w:rsid w:val="009F5B30"/>
    <w:rsid w:val="009F6886"/>
    <w:rsid w:val="00A00182"/>
    <w:rsid w:val="00A00EC5"/>
    <w:rsid w:val="00A01342"/>
    <w:rsid w:val="00A01DD2"/>
    <w:rsid w:val="00A03F5C"/>
    <w:rsid w:val="00A04163"/>
    <w:rsid w:val="00A0417F"/>
    <w:rsid w:val="00A0422C"/>
    <w:rsid w:val="00A05C79"/>
    <w:rsid w:val="00A07935"/>
    <w:rsid w:val="00A07F3F"/>
    <w:rsid w:val="00A101A3"/>
    <w:rsid w:val="00A1061D"/>
    <w:rsid w:val="00A11022"/>
    <w:rsid w:val="00A11969"/>
    <w:rsid w:val="00A13907"/>
    <w:rsid w:val="00A14CB1"/>
    <w:rsid w:val="00A164F8"/>
    <w:rsid w:val="00A170A2"/>
    <w:rsid w:val="00A205C4"/>
    <w:rsid w:val="00A20C27"/>
    <w:rsid w:val="00A20D2E"/>
    <w:rsid w:val="00A226D1"/>
    <w:rsid w:val="00A22C98"/>
    <w:rsid w:val="00A23C20"/>
    <w:rsid w:val="00A24FB8"/>
    <w:rsid w:val="00A2597F"/>
    <w:rsid w:val="00A25E22"/>
    <w:rsid w:val="00A271B3"/>
    <w:rsid w:val="00A27444"/>
    <w:rsid w:val="00A3027B"/>
    <w:rsid w:val="00A30BAC"/>
    <w:rsid w:val="00A326D3"/>
    <w:rsid w:val="00A32CB5"/>
    <w:rsid w:val="00A3456B"/>
    <w:rsid w:val="00A352E2"/>
    <w:rsid w:val="00A36BE5"/>
    <w:rsid w:val="00A3798C"/>
    <w:rsid w:val="00A37A09"/>
    <w:rsid w:val="00A37A9B"/>
    <w:rsid w:val="00A37F66"/>
    <w:rsid w:val="00A427B7"/>
    <w:rsid w:val="00A42C7D"/>
    <w:rsid w:val="00A42E8C"/>
    <w:rsid w:val="00A4382D"/>
    <w:rsid w:val="00A43CF2"/>
    <w:rsid w:val="00A43D76"/>
    <w:rsid w:val="00A466C7"/>
    <w:rsid w:val="00A46E0F"/>
    <w:rsid w:val="00A47285"/>
    <w:rsid w:val="00A47B1E"/>
    <w:rsid w:val="00A47BDE"/>
    <w:rsid w:val="00A5060A"/>
    <w:rsid w:val="00A50ECC"/>
    <w:rsid w:val="00A511CF"/>
    <w:rsid w:val="00A5353D"/>
    <w:rsid w:val="00A5430D"/>
    <w:rsid w:val="00A54DCF"/>
    <w:rsid w:val="00A54F7C"/>
    <w:rsid w:val="00A56333"/>
    <w:rsid w:val="00A57705"/>
    <w:rsid w:val="00A57BAE"/>
    <w:rsid w:val="00A57EDC"/>
    <w:rsid w:val="00A57FBF"/>
    <w:rsid w:val="00A6027C"/>
    <w:rsid w:val="00A61312"/>
    <w:rsid w:val="00A613D1"/>
    <w:rsid w:val="00A61692"/>
    <w:rsid w:val="00A61722"/>
    <w:rsid w:val="00A617F3"/>
    <w:rsid w:val="00A61B98"/>
    <w:rsid w:val="00A626B8"/>
    <w:rsid w:val="00A62F04"/>
    <w:rsid w:val="00A6382D"/>
    <w:rsid w:val="00A64D19"/>
    <w:rsid w:val="00A6743D"/>
    <w:rsid w:val="00A70097"/>
    <w:rsid w:val="00A702F3"/>
    <w:rsid w:val="00A706F7"/>
    <w:rsid w:val="00A707B4"/>
    <w:rsid w:val="00A714E8"/>
    <w:rsid w:val="00A71554"/>
    <w:rsid w:val="00A72141"/>
    <w:rsid w:val="00A72F65"/>
    <w:rsid w:val="00A734AF"/>
    <w:rsid w:val="00A73D9C"/>
    <w:rsid w:val="00A73E97"/>
    <w:rsid w:val="00A7504D"/>
    <w:rsid w:val="00A76861"/>
    <w:rsid w:val="00A800F5"/>
    <w:rsid w:val="00A80DFC"/>
    <w:rsid w:val="00A81670"/>
    <w:rsid w:val="00A82732"/>
    <w:rsid w:val="00A82ADA"/>
    <w:rsid w:val="00A84C65"/>
    <w:rsid w:val="00A85349"/>
    <w:rsid w:val="00A85D3F"/>
    <w:rsid w:val="00A87F4D"/>
    <w:rsid w:val="00A9047D"/>
    <w:rsid w:val="00A907CD"/>
    <w:rsid w:val="00A91DA7"/>
    <w:rsid w:val="00A92153"/>
    <w:rsid w:val="00A9270D"/>
    <w:rsid w:val="00A92832"/>
    <w:rsid w:val="00A942CD"/>
    <w:rsid w:val="00A951BF"/>
    <w:rsid w:val="00A9622D"/>
    <w:rsid w:val="00A96A88"/>
    <w:rsid w:val="00A977D0"/>
    <w:rsid w:val="00AA017D"/>
    <w:rsid w:val="00AA0693"/>
    <w:rsid w:val="00AA0CFB"/>
    <w:rsid w:val="00AA1A42"/>
    <w:rsid w:val="00AA1EC0"/>
    <w:rsid w:val="00AA23CF"/>
    <w:rsid w:val="00AA40A9"/>
    <w:rsid w:val="00AA4645"/>
    <w:rsid w:val="00AA6FBB"/>
    <w:rsid w:val="00AB0014"/>
    <w:rsid w:val="00AB0734"/>
    <w:rsid w:val="00AB1006"/>
    <w:rsid w:val="00AB27A9"/>
    <w:rsid w:val="00AB3882"/>
    <w:rsid w:val="00AB4FFA"/>
    <w:rsid w:val="00AB5901"/>
    <w:rsid w:val="00AB7BEB"/>
    <w:rsid w:val="00AB7FEF"/>
    <w:rsid w:val="00AC0395"/>
    <w:rsid w:val="00AC0ABB"/>
    <w:rsid w:val="00AC358C"/>
    <w:rsid w:val="00AC40B6"/>
    <w:rsid w:val="00AC641B"/>
    <w:rsid w:val="00AC69E4"/>
    <w:rsid w:val="00AC7A83"/>
    <w:rsid w:val="00AC7DD0"/>
    <w:rsid w:val="00AD047B"/>
    <w:rsid w:val="00AD14A6"/>
    <w:rsid w:val="00AD1B9D"/>
    <w:rsid w:val="00AD21E5"/>
    <w:rsid w:val="00AD29F6"/>
    <w:rsid w:val="00AD387E"/>
    <w:rsid w:val="00AD3BF3"/>
    <w:rsid w:val="00AD3FF0"/>
    <w:rsid w:val="00AD407F"/>
    <w:rsid w:val="00AD4FD4"/>
    <w:rsid w:val="00AD57D2"/>
    <w:rsid w:val="00AE0527"/>
    <w:rsid w:val="00AE07EA"/>
    <w:rsid w:val="00AE1E4D"/>
    <w:rsid w:val="00AE296E"/>
    <w:rsid w:val="00AE302C"/>
    <w:rsid w:val="00AE3797"/>
    <w:rsid w:val="00AE38B6"/>
    <w:rsid w:val="00AE5A5F"/>
    <w:rsid w:val="00AE6610"/>
    <w:rsid w:val="00AE6938"/>
    <w:rsid w:val="00AE696F"/>
    <w:rsid w:val="00AE6F10"/>
    <w:rsid w:val="00AF13CA"/>
    <w:rsid w:val="00AF2AD2"/>
    <w:rsid w:val="00AF3297"/>
    <w:rsid w:val="00AF46BC"/>
    <w:rsid w:val="00AF5A77"/>
    <w:rsid w:val="00AF5FD0"/>
    <w:rsid w:val="00AF71CA"/>
    <w:rsid w:val="00AF7685"/>
    <w:rsid w:val="00AF7CC4"/>
    <w:rsid w:val="00B00286"/>
    <w:rsid w:val="00B008BE"/>
    <w:rsid w:val="00B0094D"/>
    <w:rsid w:val="00B009C3"/>
    <w:rsid w:val="00B0132D"/>
    <w:rsid w:val="00B015EF"/>
    <w:rsid w:val="00B016FB"/>
    <w:rsid w:val="00B0243F"/>
    <w:rsid w:val="00B028AA"/>
    <w:rsid w:val="00B047DB"/>
    <w:rsid w:val="00B049DF"/>
    <w:rsid w:val="00B054A5"/>
    <w:rsid w:val="00B103AD"/>
    <w:rsid w:val="00B10DB0"/>
    <w:rsid w:val="00B13858"/>
    <w:rsid w:val="00B13AC6"/>
    <w:rsid w:val="00B14089"/>
    <w:rsid w:val="00B15859"/>
    <w:rsid w:val="00B16C24"/>
    <w:rsid w:val="00B16E6F"/>
    <w:rsid w:val="00B16F1B"/>
    <w:rsid w:val="00B171B7"/>
    <w:rsid w:val="00B2035C"/>
    <w:rsid w:val="00B205D2"/>
    <w:rsid w:val="00B20B88"/>
    <w:rsid w:val="00B21B34"/>
    <w:rsid w:val="00B22507"/>
    <w:rsid w:val="00B22ACE"/>
    <w:rsid w:val="00B25C71"/>
    <w:rsid w:val="00B25CB6"/>
    <w:rsid w:val="00B26F24"/>
    <w:rsid w:val="00B2774A"/>
    <w:rsid w:val="00B27F7C"/>
    <w:rsid w:val="00B304F8"/>
    <w:rsid w:val="00B3078E"/>
    <w:rsid w:val="00B30BA4"/>
    <w:rsid w:val="00B3121C"/>
    <w:rsid w:val="00B31CBB"/>
    <w:rsid w:val="00B321F2"/>
    <w:rsid w:val="00B32226"/>
    <w:rsid w:val="00B329FA"/>
    <w:rsid w:val="00B330B0"/>
    <w:rsid w:val="00B34240"/>
    <w:rsid w:val="00B3441D"/>
    <w:rsid w:val="00B363E1"/>
    <w:rsid w:val="00B37E68"/>
    <w:rsid w:val="00B402FA"/>
    <w:rsid w:val="00B40D50"/>
    <w:rsid w:val="00B40E30"/>
    <w:rsid w:val="00B4166F"/>
    <w:rsid w:val="00B41E4C"/>
    <w:rsid w:val="00B42EB8"/>
    <w:rsid w:val="00B43CA9"/>
    <w:rsid w:val="00B43D51"/>
    <w:rsid w:val="00B43FC7"/>
    <w:rsid w:val="00B4506B"/>
    <w:rsid w:val="00B45166"/>
    <w:rsid w:val="00B46015"/>
    <w:rsid w:val="00B46049"/>
    <w:rsid w:val="00B462D0"/>
    <w:rsid w:val="00B469DB"/>
    <w:rsid w:val="00B47020"/>
    <w:rsid w:val="00B478AF"/>
    <w:rsid w:val="00B50436"/>
    <w:rsid w:val="00B504B2"/>
    <w:rsid w:val="00B508DD"/>
    <w:rsid w:val="00B513DD"/>
    <w:rsid w:val="00B5205C"/>
    <w:rsid w:val="00B52416"/>
    <w:rsid w:val="00B52588"/>
    <w:rsid w:val="00B52BF4"/>
    <w:rsid w:val="00B5465C"/>
    <w:rsid w:val="00B54EA7"/>
    <w:rsid w:val="00B54EB0"/>
    <w:rsid w:val="00B552BC"/>
    <w:rsid w:val="00B55412"/>
    <w:rsid w:val="00B56C24"/>
    <w:rsid w:val="00B6049C"/>
    <w:rsid w:val="00B61249"/>
    <w:rsid w:val="00B61A06"/>
    <w:rsid w:val="00B6208F"/>
    <w:rsid w:val="00B64BAC"/>
    <w:rsid w:val="00B64C5D"/>
    <w:rsid w:val="00B6521C"/>
    <w:rsid w:val="00B675A6"/>
    <w:rsid w:val="00B7054B"/>
    <w:rsid w:val="00B70D92"/>
    <w:rsid w:val="00B70DBA"/>
    <w:rsid w:val="00B715FB"/>
    <w:rsid w:val="00B71EE0"/>
    <w:rsid w:val="00B72499"/>
    <w:rsid w:val="00B72570"/>
    <w:rsid w:val="00B73C68"/>
    <w:rsid w:val="00B74A75"/>
    <w:rsid w:val="00B75602"/>
    <w:rsid w:val="00B762E6"/>
    <w:rsid w:val="00B76BC1"/>
    <w:rsid w:val="00B80406"/>
    <w:rsid w:val="00B82A77"/>
    <w:rsid w:val="00B83166"/>
    <w:rsid w:val="00B842D9"/>
    <w:rsid w:val="00B855B1"/>
    <w:rsid w:val="00B85754"/>
    <w:rsid w:val="00B85FCB"/>
    <w:rsid w:val="00B86021"/>
    <w:rsid w:val="00B8634D"/>
    <w:rsid w:val="00B8678F"/>
    <w:rsid w:val="00B86934"/>
    <w:rsid w:val="00B86A75"/>
    <w:rsid w:val="00B9018A"/>
    <w:rsid w:val="00B90CF3"/>
    <w:rsid w:val="00B9142E"/>
    <w:rsid w:val="00B917AB"/>
    <w:rsid w:val="00B918E8"/>
    <w:rsid w:val="00B91C1C"/>
    <w:rsid w:val="00B92660"/>
    <w:rsid w:val="00B92B3E"/>
    <w:rsid w:val="00B92BA5"/>
    <w:rsid w:val="00B92D6C"/>
    <w:rsid w:val="00B94B79"/>
    <w:rsid w:val="00B974F3"/>
    <w:rsid w:val="00B97540"/>
    <w:rsid w:val="00B976BE"/>
    <w:rsid w:val="00B979EF"/>
    <w:rsid w:val="00BA006F"/>
    <w:rsid w:val="00BA0A0C"/>
    <w:rsid w:val="00BA25CF"/>
    <w:rsid w:val="00BA3CA3"/>
    <w:rsid w:val="00BA42DB"/>
    <w:rsid w:val="00BA430F"/>
    <w:rsid w:val="00BA5261"/>
    <w:rsid w:val="00BA57A9"/>
    <w:rsid w:val="00BA7228"/>
    <w:rsid w:val="00BA7622"/>
    <w:rsid w:val="00BB0618"/>
    <w:rsid w:val="00BB0EC9"/>
    <w:rsid w:val="00BB19E9"/>
    <w:rsid w:val="00BB470F"/>
    <w:rsid w:val="00BB5D0F"/>
    <w:rsid w:val="00BB6CB6"/>
    <w:rsid w:val="00BB7BC4"/>
    <w:rsid w:val="00BB7E1E"/>
    <w:rsid w:val="00BC3E55"/>
    <w:rsid w:val="00BC4888"/>
    <w:rsid w:val="00BC5072"/>
    <w:rsid w:val="00BC5312"/>
    <w:rsid w:val="00BC5641"/>
    <w:rsid w:val="00BC5DCB"/>
    <w:rsid w:val="00BC600E"/>
    <w:rsid w:val="00BC6182"/>
    <w:rsid w:val="00BC67B6"/>
    <w:rsid w:val="00BC68A9"/>
    <w:rsid w:val="00BC6AAE"/>
    <w:rsid w:val="00BC6C08"/>
    <w:rsid w:val="00BC794A"/>
    <w:rsid w:val="00BC7E58"/>
    <w:rsid w:val="00BD08D5"/>
    <w:rsid w:val="00BD17F2"/>
    <w:rsid w:val="00BD2155"/>
    <w:rsid w:val="00BD258E"/>
    <w:rsid w:val="00BD3E49"/>
    <w:rsid w:val="00BD4F6A"/>
    <w:rsid w:val="00BD6296"/>
    <w:rsid w:val="00BD6893"/>
    <w:rsid w:val="00BE0ECB"/>
    <w:rsid w:val="00BE13C5"/>
    <w:rsid w:val="00BE1C99"/>
    <w:rsid w:val="00BE213B"/>
    <w:rsid w:val="00BE21DA"/>
    <w:rsid w:val="00BE3CA7"/>
    <w:rsid w:val="00BE424F"/>
    <w:rsid w:val="00BE5207"/>
    <w:rsid w:val="00BE5C1C"/>
    <w:rsid w:val="00BE6315"/>
    <w:rsid w:val="00BE7481"/>
    <w:rsid w:val="00BF0C7B"/>
    <w:rsid w:val="00BF0E56"/>
    <w:rsid w:val="00BF21AE"/>
    <w:rsid w:val="00BF293A"/>
    <w:rsid w:val="00BF306C"/>
    <w:rsid w:val="00BF31D7"/>
    <w:rsid w:val="00BF35F0"/>
    <w:rsid w:val="00BF3BDB"/>
    <w:rsid w:val="00BF63BB"/>
    <w:rsid w:val="00BF7BFD"/>
    <w:rsid w:val="00C00253"/>
    <w:rsid w:val="00C00536"/>
    <w:rsid w:val="00C00C88"/>
    <w:rsid w:val="00C018BF"/>
    <w:rsid w:val="00C0397B"/>
    <w:rsid w:val="00C05440"/>
    <w:rsid w:val="00C05C7D"/>
    <w:rsid w:val="00C05C9C"/>
    <w:rsid w:val="00C06645"/>
    <w:rsid w:val="00C06D99"/>
    <w:rsid w:val="00C076B1"/>
    <w:rsid w:val="00C078A5"/>
    <w:rsid w:val="00C078BF"/>
    <w:rsid w:val="00C10C7F"/>
    <w:rsid w:val="00C11694"/>
    <w:rsid w:val="00C11D90"/>
    <w:rsid w:val="00C11EDA"/>
    <w:rsid w:val="00C13380"/>
    <w:rsid w:val="00C13427"/>
    <w:rsid w:val="00C14095"/>
    <w:rsid w:val="00C15660"/>
    <w:rsid w:val="00C16AF8"/>
    <w:rsid w:val="00C16CDB"/>
    <w:rsid w:val="00C17199"/>
    <w:rsid w:val="00C179B1"/>
    <w:rsid w:val="00C20F83"/>
    <w:rsid w:val="00C21FE5"/>
    <w:rsid w:val="00C25EF6"/>
    <w:rsid w:val="00C269E1"/>
    <w:rsid w:val="00C26E7F"/>
    <w:rsid w:val="00C2767D"/>
    <w:rsid w:val="00C2794C"/>
    <w:rsid w:val="00C27BCA"/>
    <w:rsid w:val="00C27FF3"/>
    <w:rsid w:val="00C302F4"/>
    <w:rsid w:val="00C31424"/>
    <w:rsid w:val="00C32B82"/>
    <w:rsid w:val="00C3471B"/>
    <w:rsid w:val="00C35848"/>
    <w:rsid w:val="00C36951"/>
    <w:rsid w:val="00C37028"/>
    <w:rsid w:val="00C37444"/>
    <w:rsid w:val="00C37D37"/>
    <w:rsid w:val="00C37F2B"/>
    <w:rsid w:val="00C41479"/>
    <w:rsid w:val="00C415DB"/>
    <w:rsid w:val="00C41D71"/>
    <w:rsid w:val="00C42BB1"/>
    <w:rsid w:val="00C4770D"/>
    <w:rsid w:val="00C51C76"/>
    <w:rsid w:val="00C51CC6"/>
    <w:rsid w:val="00C522C3"/>
    <w:rsid w:val="00C52BE7"/>
    <w:rsid w:val="00C52F49"/>
    <w:rsid w:val="00C53D1F"/>
    <w:rsid w:val="00C55B61"/>
    <w:rsid w:val="00C55F21"/>
    <w:rsid w:val="00C564AA"/>
    <w:rsid w:val="00C5696C"/>
    <w:rsid w:val="00C56AD6"/>
    <w:rsid w:val="00C56F6D"/>
    <w:rsid w:val="00C5757C"/>
    <w:rsid w:val="00C6000F"/>
    <w:rsid w:val="00C600CC"/>
    <w:rsid w:val="00C604F7"/>
    <w:rsid w:val="00C61B67"/>
    <w:rsid w:val="00C61F99"/>
    <w:rsid w:val="00C63ECF"/>
    <w:rsid w:val="00C64874"/>
    <w:rsid w:val="00C66106"/>
    <w:rsid w:val="00C666EF"/>
    <w:rsid w:val="00C675B9"/>
    <w:rsid w:val="00C67A52"/>
    <w:rsid w:val="00C67EF7"/>
    <w:rsid w:val="00C70654"/>
    <w:rsid w:val="00C70D53"/>
    <w:rsid w:val="00C72EAB"/>
    <w:rsid w:val="00C73E18"/>
    <w:rsid w:val="00C744F3"/>
    <w:rsid w:val="00C74504"/>
    <w:rsid w:val="00C75A77"/>
    <w:rsid w:val="00C75C8B"/>
    <w:rsid w:val="00C77155"/>
    <w:rsid w:val="00C77357"/>
    <w:rsid w:val="00C776C8"/>
    <w:rsid w:val="00C805EB"/>
    <w:rsid w:val="00C808BC"/>
    <w:rsid w:val="00C80A40"/>
    <w:rsid w:val="00C81571"/>
    <w:rsid w:val="00C81C12"/>
    <w:rsid w:val="00C81E9C"/>
    <w:rsid w:val="00C82C57"/>
    <w:rsid w:val="00C83405"/>
    <w:rsid w:val="00C853D9"/>
    <w:rsid w:val="00C853F4"/>
    <w:rsid w:val="00C85E52"/>
    <w:rsid w:val="00C86793"/>
    <w:rsid w:val="00C868FF"/>
    <w:rsid w:val="00C905A3"/>
    <w:rsid w:val="00C90762"/>
    <w:rsid w:val="00C909EE"/>
    <w:rsid w:val="00C90B2E"/>
    <w:rsid w:val="00C91226"/>
    <w:rsid w:val="00C91783"/>
    <w:rsid w:val="00C92F74"/>
    <w:rsid w:val="00C943C3"/>
    <w:rsid w:val="00C94E46"/>
    <w:rsid w:val="00C94FC6"/>
    <w:rsid w:val="00CA00C0"/>
    <w:rsid w:val="00CA0695"/>
    <w:rsid w:val="00CA0930"/>
    <w:rsid w:val="00CA0E0B"/>
    <w:rsid w:val="00CA0F97"/>
    <w:rsid w:val="00CA11E5"/>
    <w:rsid w:val="00CA141A"/>
    <w:rsid w:val="00CA1E53"/>
    <w:rsid w:val="00CA1E58"/>
    <w:rsid w:val="00CA2334"/>
    <w:rsid w:val="00CA29CC"/>
    <w:rsid w:val="00CA2F22"/>
    <w:rsid w:val="00CA3037"/>
    <w:rsid w:val="00CA3373"/>
    <w:rsid w:val="00CA4963"/>
    <w:rsid w:val="00CA4C02"/>
    <w:rsid w:val="00CA68A3"/>
    <w:rsid w:val="00CB065E"/>
    <w:rsid w:val="00CB1CB0"/>
    <w:rsid w:val="00CB27C4"/>
    <w:rsid w:val="00CB29A2"/>
    <w:rsid w:val="00CB2DB7"/>
    <w:rsid w:val="00CB3484"/>
    <w:rsid w:val="00CB3710"/>
    <w:rsid w:val="00CB527E"/>
    <w:rsid w:val="00CB5EA8"/>
    <w:rsid w:val="00CB6281"/>
    <w:rsid w:val="00CB693C"/>
    <w:rsid w:val="00CC0C74"/>
    <w:rsid w:val="00CC2864"/>
    <w:rsid w:val="00CC314D"/>
    <w:rsid w:val="00CC37AB"/>
    <w:rsid w:val="00CC3E98"/>
    <w:rsid w:val="00CC41B3"/>
    <w:rsid w:val="00CC41CC"/>
    <w:rsid w:val="00CC5D52"/>
    <w:rsid w:val="00CC6D44"/>
    <w:rsid w:val="00CC72F2"/>
    <w:rsid w:val="00CC781F"/>
    <w:rsid w:val="00CD0175"/>
    <w:rsid w:val="00CD2236"/>
    <w:rsid w:val="00CD2631"/>
    <w:rsid w:val="00CD2D4C"/>
    <w:rsid w:val="00CD3442"/>
    <w:rsid w:val="00CD360F"/>
    <w:rsid w:val="00CD37FE"/>
    <w:rsid w:val="00CD3A54"/>
    <w:rsid w:val="00CD3F86"/>
    <w:rsid w:val="00CD4598"/>
    <w:rsid w:val="00CD5076"/>
    <w:rsid w:val="00CD58B0"/>
    <w:rsid w:val="00CD6396"/>
    <w:rsid w:val="00CD6FA6"/>
    <w:rsid w:val="00CD759E"/>
    <w:rsid w:val="00CE081F"/>
    <w:rsid w:val="00CE19D4"/>
    <w:rsid w:val="00CE2215"/>
    <w:rsid w:val="00CE234D"/>
    <w:rsid w:val="00CE3099"/>
    <w:rsid w:val="00CE3967"/>
    <w:rsid w:val="00CE592A"/>
    <w:rsid w:val="00CE6A47"/>
    <w:rsid w:val="00CF1871"/>
    <w:rsid w:val="00CF3D84"/>
    <w:rsid w:val="00CF413F"/>
    <w:rsid w:val="00CF4D03"/>
    <w:rsid w:val="00CF689F"/>
    <w:rsid w:val="00D00EB5"/>
    <w:rsid w:val="00D0154C"/>
    <w:rsid w:val="00D01D6D"/>
    <w:rsid w:val="00D021BC"/>
    <w:rsid w:val="00D02252"/>
    <w:rsid w:val="00D028AD"/>
    <w:rsid w:val="00D028FF"/>
    <w:rsid w:val="00D02B8E"/>
    <w:rsid w:val="00D04273"/>
    <w:rsid w:val="00D044A3"/>
    <w:rsid w:val="00D05120"/>
    <w:rsid w:val="00D054E1"/>
    <w:rsid w:val="00D07CCD"/>
    <w:rsid w:val="00D07F58"/>
    <w:rsid w:val="00D10000"/>
    <w:rsid w:val="00D10D8C"/>
    <w:rsid w:val="00D11D23"/>
    <w:rsid w:val="00D12BEA"/>
    <w:rsid w:val="00D12C52"/>
    <w:rsid w:val="00D12E5A"/>
    <w:rsid w:val="00D13FA9"/>
    <w:rsid w:val="00D15C8E"/>
    <w:rsid w:val="00D16782"/>
    <w:rsid w:val="00D17560"/>
    <w:rsid w:val="00D17E1F"/>
    <w:rsid w:val="00D20D8C"/>
    <w:rsid w:val="00D2159E"/>
    <w:rsid w:val="00D237E2"/>
    <w:rsid w:val="00D239E0"/>
    <w:rsid w:val="00D25E9D"/>
    <w:rsid w:val="00D26DAE"/>
    <w:rsid w:val="00D27519"/>
    <w:rsid w:val="00D27AE5"/>
    <w:rsid w:val="00D31E41"/>
    <w:rsid w:val="00D331C2"/>
    <w:rsid w:val="00D3390B"/>
    <w:rsid w:val="00D34BC3"/>
    <w:rsid w:val="00D34D34"/>
    <w:rsid w:val="00D354E8"/>
    <w:rsid w:val="00D35D44"/>
    <w:rsid w:val="00D36223"/>
    <w:rsid w:val="00D37C28"/>
    <w:rsid w:val="00D37E85"/>
    <w:rsid w:val="00D40638"/>
    <w:rsid w:val="00D4095F"/>
    <w:rsid w:val="00D41D61"/>
    <w:rsid w:val="00D42D85"/>
    <w:rsid w:val="00D450A2"/>
    <w:rsid w:val="00D45F3F"/>
    <w:rsid w:val="00D460D6"/>
    <w:rsid w:val="00D475DC"/>
    <w:rsid w:val="00D53888"/>
    <w:rsid w:val="00D552E8"/>
    <w:rsid w:val="00D559A8"/>
    <w:rsid w:val="00D5660F"/>
    <w:rsid w:val="00D61629"/>
    <w:rsid w:val="00D63CC2"/>
    <w:rsid w:val="00D63E08"/>
    <w:rsid w:val="00D641D8"/>
    <w:rsid w:val="00D66014"/>
    <w:rsid w:val="00D66AE5"/>
    <w:rsid w:val="00D67A15"/>
    <w:rsid w:val="00D67C5D"/>
    <w:rsid w:val="00D721A0"/>
    <w:rsid w:val="00D7316B"/>
    <w:rsid w:val="00D73D9E"/>
    <w:rsid w:val="00D740BA"/>
    <w:rsid w:val="00D74E0E"/>
    <w:rsid w:val="00D76161"/>
    <w:rsid w:val="00D76D82"/>
    <w:rsid w:val="00D80812"/>
    <w:rsid w:val="00D81EF7"/>
    <w:rsid w:val="00D8242F"/>
    <w:rsid w:val="00D83DB1"/>
    <w:rsid w:val="00D83DD3"/>
    <w:rsid w:val="00D8478E"/>
    <w:rsid w:val="00D84FE7"/>
    <w:rsid w:val="00D859A8"/>
    <w:rsid w:val="00D85E41"/>
    <w:rsid w:val="00D861C0"/>
    <w:rsid w:val="00D8765D"/>
    <w:rsid w:val="00D9072E"/>
    <w:rsid w:val="00D908B0"/>
    <w:rsid w:val="00D91C8E"/>
    <w:rsid w:val="00D92010"/>
    <w:rsid w:val="00D9290D"/>
    <w:rsid w:val="00D93DEF"/>
    <w:rsid w:val="00D97D85"/>
    <w:rsid w:val="00DA060F"/>
    <w:rsid w:val="00DA08C1"/>
    <w:rsid w:val="00DA1C3C"/>
    <w:rsid w:val="00DA2623"/>
    <w:rsid w:val="00DA2A15"/>
    <w:rsid w:val="00DA2AC9"/>
    <w:rsid w:val="00DA2D97"/>
    <w:rsid w:val="00DA363F"/>
    <w:rsid w:val="00DA36B9"/>
    <w:rsid w:val="00DA3B4B"/>
    <w:rsid w:val="00DA4D46"/>
    <w:rsid w:val="00DA5315"/>
    <w:rsid w:val="00DA54F9"/>
    <w:rsid w:val="00DA6F40"/>
    <w:rsid w:val="00DA77AB"/>
    <w:rsid w:val="00DA7DBA"/>
    <w:rsid w:val="00DB05DF"/>
    <w:rsid w:val="00DB129F"/>
    <w:rsid w:val="00DB2209"/>
    <w:rsid w:val="00DB376E"/>
    <w:rsid w:val="00DB3A78"/>
    <w:rsid w:val="00DB4878"/>
    <w:rsid w:val="00DB514D"/>
    <w:rsid w:val="00DB61EE"/>
    <w:rsid w:val="00DB673C"/>
    <w:rsid w:val="00DB70D8"/>
    <w:rsid w:val="00DB712C"/>
    <w:rsid w:val="00DB7CB8"/>
    <w:rsid w:val="00DC1D9A"/>
    <w:rsid w:val="00DC2A1F"/>
    <w:rsid w:val="00DC378C"/>
    <w:rsid w:val="00DC3836"/>
    <w:rsid w:val="00DC4FB1"/>
    <w:rsid w:val="00DC58F3"/>
    <w:rsid w:val="00DC646A"/>
    <w:rsid w:val="00DC72D7"/>
    <w:rsid w:val="00DC7B2C"/>
    <w:rsid w:val="00DC7B4E"/>
    <w:rsid w:val="00DD0530"/>
    <w:rsid w:val="00DD0F77"/>
    <w:rsid w:val="00DD1984"/>
    <w:rsid w:val="00DD2630"/>
    <w:rsid w:val="00DD39A1"/>
    <w:rsid w:val="00DD4F1E"/>
    <w:rsid w:val="00DD5B85"/>
    <w:rsid w:val="00DD6161"/>
    <w:rsid w:val="00DD6C0D"/>
    <w:rsid w:val="00DD7E29"/>
    <w:rsid w:val="00DD7E9A"/>
    <w:rsid w:val="00DE12B8"/>
    <w:rsid w:val="00DE16FC"/>
    <w:rsid w:val="00DE2D7A"/>
    <w:rsid w:val="00DE5131"/>
    <w:rsid w:val="00DE60E8"/>
    <w:rsid w:val="00DF1C90"/>
    <w:rsid w:val="00DF1F35"/>
    <w:rsid w:val="00DF2360"/>
    <w:rsid w:val="00DF2F79"/>
    <w:rsid w:val="00DF33AF"/>
    <w:rsid w:val="00DF417C"/>
    <w:rsid w:val="00DF42CB"/>
    <w:rsid w:val="00DF4BC6"/>
    <w:rsid w:val="00DF547A"/>
    <w:rsid w:val="00DF5ADC"/>
    <w:rsid w:val="00DF65BD"/>
    <w:rsid w:val="00DF689A"/>
    <w:rsid w:val="00DF694F"/>
    <w:rsid w:val="00DF7029"/>
    <w:rsid w:val="00DF7BA2"/>
    <w:rsid w:val="00E03A3E"/>
    <w:rsid w:val="00E05A1E"/>
    <w:rsid w:val="00E071CD"/>
    <w:rsid w:val="00E10091"/>
    <w:rsid w:val="00E10D1A"/>
    <w:rsid w:val="00E11157"/>
    <w:rsid w:val="00E12082"/>
    <w:rsid w:val="00E12147"/>
    <w:rsid w:val="00E1248B"/>
    <w:rsid w:val="00E134E1"/>
    <w:rsid w:val="00E14478"/>
    <w:rsid w:val="00E15C2F"/>
    <w:rsid w:val="00E171A0"/>
    <w:rsid w:val="00E17CA2"/>
    <w:rsid w:val="00E21848"/>
    <w:rsid w:val="00E230F7"/>
    <w:rsid w:val="00E23A00"/>
    <w:rsid w:val="00E2460F"/>
    <w:rsid w:val="00E2492F"/>
    <w:rsid w:val="00E2538E"/>
    <w:rsid w:val="00E25634"/>
    <w:rsid w:val="00E25A14"/>
    <w:rsid w:val="00E25A8C"/>
    <w:rsid w:val="00E260BC"/>
    <w:rsid w:val="00E26466"/>
    <w:rsid w:val="00E267DC"/>
    <w:rsid w:val="00E31533"/>
    <w:rsid w:val="00E328F6"/>
    <w:rsid w:val="00E329C3"/>
    <w:rsid w:val="00E334AE"/>
    <w:rsid w:val="00E34566"/>
    <w:rsid w:val="00E34F1A"/>
    <w:rsid w:val="00E37A6F"/>
    <w:rsid w:val="00E41EAC"/>
    <w:rsid w:val="00E43272"/>
    <w:rsid w:val="00E43BB2"/>
    <w:rsid w:val="00E44ABC"/>
    <w:rsid w:val="00E44E95"/>
    <w:rsid w:val="00E47049"/>
    <w:rsid w:val="00E47382"/>
    <w:rsid w:val="00E47C16"/>
    <w:rsid w:val="00E47F17"/>
    <w:rsid w:val="00E507AE"/>
    <w:rsid w:val="00E515C0"/>
    <w:rsid w:val="00E51848"/>
    <w:rsid w:val="00E51893"/>
    <w:rsid w:val="00E51B1B"/>
    <w:rsid w:val="00E5452F"/>
    <w:rsid w:val="00E5505F"/>
    <w:rsid w:val="00E565DA"/>
    <w:rsid w:val="00E57C83"/>
    <w:rsid w:val="00E62FE5"/>
    <w:rsid w:val="00E63136"/>
    <w:rsid w:val="00E648DD"/>
    <w:rsid w:val="00E66C4E"/>
    <w:rsid w:val="00E67149"/>
    <w:rsid w:val="00E700F7"/>
    <w:rsid w:val="00E7018B"/>
    <w:rsid w:val="00E723B0"/>
    <w:rsid w:val="00E72D8A"/>
    <w:rsid w:val="00E73497"/>
    <w:rsid w:val="00E735F1"/>
    <w:rsid w:val="00E739DA"/>
    <w:rsid w:val="00E73BA4"/>
    <w:rsid w:val="00E75C39"/>
    <w:rsid w:val="00E762F3"/>
    <w:rsid w:val="00E76ABE"/>
    <w:rsid w:val="00E76E18"/>
    <w:rsid w:val="00E770E7"/>
    <w:rsid w:val="00E77528"/>
    <w:rsid w:val="00E7788F"/>
    <w:rsid w:val="00E778D4"/>
    <w:rsid w:val="00E807FB"/>
    <w:rsid w:val="00E80ACD"/>
    <w:rsid w:val="00E8170B"/>
    <w:rsid w:val="00E81F07"/>
    <w:rsid w:val="00E85C4A"/>
    <w:rsid w:val="00E866FB"/>
    <w:rsid w:val="00E920AC"/>
    <w:rsid w:val="00E9223B"/>
    <w:rsid w:val="00E93025"/>
    <w:rsid w:val="00E93AB9"/>
    <w:rsid w:val="00E95B08"/>
    <w:rsid w:val="00E9647F"/>
    <w:rsid w:val="00E96AF0"/>
    <w:rsid w:val="00EA03F6"/>
    <w:rsid w:val="00EA0BE3"/>
    <w:rsid w:val="00EA1DF3"/>
    <w:rsid w:val="00EA28DD"/>
    <w:rsid w:val="00EA3157"/>
    <w:rsid w:val="00EA3D9B"/>
    <w:rsid w:val="00EA599C"/>
    <w:rsid w:val="00EB0EAD"/>
    <w:rsid w:val="00EB0F79"/>
    <w:rsid w:val="00EB228E"/>
    <w:rsid w:val="00EB3388"/>
    <w:rsid w:val="00EB360F"/>
    <w:rsid w:val="00EB3C0B"/>
    <w:rsid w:val="00EB555F"/>
    <w:rsid w:val="00EB5C2F"/>
    <w:rsid w:val="00EB5F96"/>
    <w:rsid w:val="00EB6391"/>
    <w:rsid w:val="00EB6433"/>
    <w:rsid w:val="00EB7D09"/>
    <w:rsid w:val="00EC08F9"/>
    <w:rsid w:val="00EC0DBF"/>
    <w:rsid w:val="00EC14EF"/>
    <w:rsid w:val="00EC3541"/>
    <w:rsid w:val="00EC3806"/>
    <w:rsid w:val="00EC3F37"/>
    <w:rsid w:val="00EC53D0"/>
    <w:rsid w:val="00EC6727"/>
    <w:rsid w:val="00EC6C0D"/>
    <w:rsid w:val="00EC6CE4"/>
    <w:rsid w:val="00ED0FDD"/>
    <w:rsid w:val="00ED1136"/>
    <w:rsid w:val="00ED1442"/>
    <w:rsid w:val="00ED2F3F"/>
    <w:rsid w:val="00ED3070"/>
    <w:rsid w:val="00ED4500"/>
    <w:rsid w:val="00ED54EC"/>
    <w:rsid w:val="00ED6F92"/>
    <w:rsid w:val="00ED79D5"/>
    <w:rsid w:val="00ED7D9D"/>
    <w:rsid w:val="00EE0617"/>
    <w:rsid w:val="00EE0EFF"/>
    <w:rsid w:val="00EE153F"/>
    <w:rsid w:val="00EE2D11"/>
    <w:rsid w:val="00EE3543"/>
    <w:rsid w:val="00EE4E56"/>
    <w:rsid w:val="00EE5695"/>
    <w:rsid w:val="00EE5E0D"/>
    <w:rsid w:val="00EE6ACC"/>
    <w:rsid w:val="00EF2BD7"/>
    <w:rsid w:val="00EF4A05"/>
    <w:rsid w:val="00EF4E42"/>
    <w:rsid w:val="00EF64EC"/>
    <w:rsid w:val="00EF7530"/>
    <w:rsid w:val="00F0027C"/>
    <w:rsid w:val="00F00395"/>
    <w:rsid w:val="00F003FE"/>
    <w:rsid w:val="00F004D4"/>
    <w:rsid w:val="00F00A0F"/>
    <w:rsid w:val="00F00A65"/>
    <w:rsid w:val="00F01A56"/>
    <w:rsid w:val="00F01D2C"/>
    <w:rsid w:val="00F02E1F"/>
    <w:rsid w:val="00F0456F"/>
    <w:rsid w:val="00F04A69"/>
    <w:rsid w:val="00F05B1E"/>
    <w:rsid w:val="00F06FE1"/>
    <w:rsid w:val="00F07744"/>
    <w:rsid w:val="00F10267"/>
    <w:rsid w:val="00F123BE"/>
    <w:rsid w:val="00F128F9"/>
    <w:rsid w:val="00F1376C"/>
    <w:rsid w:val="00F150D0"/>
    <w:rsid w:val="00F176CF"/>
    <w:rsid w:val="00F17CCD"/>
    <w:rsid w:val="00F217E1"/>
    <w:rsid w:val="00F219E5"/>
    <w:rsid w:val="00F22850"/>
    <w:rsid w:val="00F22BF1"/>
    <w:rsid w:val="00F22D54"/>
    <w:rsid w:val="00F22E78"/>
    <w:rsid w:val="00F22FAD"/>
    <w:rsid w:val="00F2371D"/>
    <w:rsid w:val="00F2453E"/>
    <w:rsid w:val="00F24963"/>
    <w:rsid w:val="00F25490"/>
    <w:rsid w:val="00F2622F"/>
    <w:rsid w:val="00F277BC"/>
    <w:rsid w:val="00F30D26"/>
    <w:rsid w:val="00F31E74"/>
    <w:rsid w:val="00F33138"/>
    <w:rsid w:val="00F33C2C"/>
    <w:rsid w:val="00F341F6"/>
    <w:rsid w:val="00F34267"/>
    <w:rsid w:val="00F3469C"/>
    <w:rsid w:val="00F352C1"/>
    <w:rsid w:val="00F3571A"/>
    <w:rsid w:val="00F3613A"/>
    <w:rsid w:val="00F36152"/>
    <w:rsid w:val="00F36892"/>
    <w:rsid w:val="00F36B91"/>
    <w:rsid w:val="00F36C7B"/>
    <w:rsid w:val="00F371F1"/>
    <w:rsid w:val="00F409EE"/>
    <w:rsid w:val="00F40EF6"/>
    <w:rsid w:val="00F41C25"/>
    <w:rsid w:val="00F42211"/>
    <w:rsid w:val="00F426F6"/>
    <w:rsid w:val="00F431AF"/>
    <w:rsid w:val="00F438DF"/>
    <w:rsid w:val="00F44B92"/>
    <w:rsid w:val="00F45356"/>
    <w:rsid w:val="00F4624E"/>
    <w:rsid w:val="00F4784B"/>
    <w:rsid w:val="00F478A1"/>
    <w:rsid w:val="00F506DD"/>
    <w:rsid w:val="00F51768"/>
    <w:rsid w:val="00F517F4"/>
    <w:rsid w:val="00F53648"/>
    <w:rsid w:val="00F5410B"/>
    <w:rsid w:val="00F54485"/>
    <w:rsid w:val="00F573AE"/>
    <w:rsid w:val="00F60C3E"/>
    <w:rsid w:val="00F61447"/>
    <w:rsid w:val="00F62A43"/>
    <w:rsid w:val="00F62CC5"/>
    <w:rsid w:val="00F62F91"/>
    <w:rsid w:val="00F639C8"/>
    <w:rsid w:val="00F63DDD"/>
    <w:rsid w:val="00F65F49"/>
    <w:rsid w:val="00F66879"/>
    <w:rsid w:val="00F66CDE"/>
    <w:rsid w:val="00F66DD9"/>
    <w:rsid w:val="00F70F1C"/>
    <w:rsid w:val="00F73CC7"/>
    <w:rsid w:val="00F73EFA"/>
    <w:rsid w:val="00F742E7"/>
    <w:rsid w:val="00F756A5"/>
    <w:rsid w:val="00F7614F"/>
    <w:rsid w:val="00F76909"/>
    <w:rsid w:val="00F76D01"/>
    <w:rsid w:val="00F77C22"/>
    <w:rsid w:val="00F77D23"/>
    <w:rsid w:val="00F81129"/>
    <w:rsid w:val="00F8161E"/>
    <w:rsid w:val="00F81AE8"/>
    <w:rsid w:val="00F81C68"/>
    <w:rsid w:val="00F8206F"/>
    <w:rsid w:val="00F8282E"/>
    <w:rsid w:val="00F828EE"/>
    <w:rsid w:val="00F82CA2"/>
    <w:rsid w:val="00F838F3"/>
    <w:rsid w:val="00F83A2F"/>
    <w:rsid w:val="00F9034F"/>
    <w:rsid w:val="00F90C96"/>
    <w:rsid w:val="00F90DD2"/>
    <w:rsid w:val="00F92EF9"/>
    <w:rsid w:val="00F93F03"/>
    <w:rsid w:val="00F9409E"/>
    <w:rsid w:val="00F94FB6"/>
    <w:rsid w:val="00F960F0"/>
    <w:rsid w:val="00F96AEA"/>
    <w:rsid w:val="00FA2B94"/>
    <w:rsid w:val="00FA3235"/>
    <w:rsid w:val="00FA3AD4"/>
    <w:rsid w:val="00FA62C9"/>
    <w:rsid w:val="00FA7E5F"/>
    <w:rsid w:val="00FB07C5"/>
    <w:rsid w:val="00FB20A6"/>
    <w:rsid w:val="00FB2679"/>
    <w:rsid w:val="00FB2833"/>
    <w:rsid w:val="00FB2CEB"/>
    <w:rsid w:val="00FB37C0"/>
    <w:rsid w:val="00FB3816"/>
    <w:rsid w:val="00FB3877"/>
    <w:rsid w:val="00FB3901"/>
    <w:rsid w:val="00FB5BC0"/>
    <w:rsid w:val="00FB6523"/>
    <w:rsid w:val="00FB70C6"/>
    <w:rsid w:val="00FC25FC"/>
    <w:rsid w:val="00FC2D7A"/>
    <w:rsid w:val="00FC4E18"/>
    <w:rsid w:val="00FC559B"/>
    <w:rsid w:val="00FC614D"/>
    <w:rsid w:val="00FC69B9"/>
    <w:rsid w:val="00FD01A6"/>
    <w:rsid w:val="00FD0E10"/>
    <w:rsid w:val="00FD2842"/>
    <w:rsid w:val="00FD329B"/>
    <w:rsid w:val="00FD4781"/>
    <w:rsid w:val="00FD638B"/>
    <w:rsid w:val="00FD6820"/>
    <w:rsid w:val="00FD6A1E"/>
    <w:rsid w:val="00FE0386"/>
    <w:rsid w:val="00FE1BBC"/>
    <w:rsid w:val="00FE2EBA"/>
    <w:rsid w:val="00FE2FAD"/>
    <w:rsid w:val="00FE32F5"/>
    <w:rsid w:val="00FE385D"/>
    <w:rsid w:val="00FE3C14"/>
    <w:rsid w:val="00FE3FD5"/>
    <w:rsid w:val="00FE3FE8"/>
    <w:rsid w:val="00FE5587"/>
    <w:rsid w:val="00FE6357"/>
    <w:rsid w:val="00FE6BF9"/>
    <w:rsid w:val="00FE7692"/>
    <w:rsid w:val="00FE77ED"/>
    <w:rsid w:val="00FE7B58"/>
    <w:rsid w:val="00FE7FE7"/>
    <w:rsid w:val="00FF0E01"/>
    <w:rsid w:val="00FF607B"/>
    <w:rsid w:val="00FF708D"/>
    <w:rsid w:val="00FF72BF"/>
    <w:rsid w:val="00FF7D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9E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618"/>
  </w:style>
  <w:style w:type="paragraph" w:styleId="Heading1">
    <w:name w:val="heading 1"/>
    <w:basedOn w:val="Normal"/>
    <w:next w:val="Normal"/>
    <w:link w:val="Heading1Char"/>
    <w:uiPriority w:val="9"/>
    <w:qFormat/>
    <w:rsid w:val="00032618"/>
    <w:pPr>
      <w:numPr>
        <w:numId w:val="2"/>
      </w:num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032618"/>
    <w:pPr>
      <w:numPr>
        <w:ilvl w:val="1"/>
        <w:numId w:val="2"/>
      </w:num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Heading3">
    <w:name w:val="heading 3"/>
    <w:basedOn w:val="Normal"/>
    <w:next w:val="Normal"/>
    <w:link w:val="Heading3Char"/>
    <w:unhideWhenUsed/>
    <w:qFormat/>
    <w:rsid w:val="007A726E"/>
    <w:pPr>
      <w:spacing w:before="0" w:after="0" w:line="240" w:lineRule="auto"/>
      <w:outlineLvl w:val="2"/>
    </w:pPr>
    <w:rPr>
      <w:rFonts w:asciiTheme="majorHAnsi" w:eastAsia="Times New Roman" w:hAnsiTheme="majorHAnsi" w:cstheme="majorHAnsi"/>
      <w:b/>
      <w:bCs/>
      <w:color w:val="FFFFFF"/>
      <w:lang w:val="en-GB" w:eastAsia="en-GB"/>
    </w:rPr>
  </w:style>
  <w:style w:type="paragraph" w:styleId="Heading4">
    <w:name w:val="heading 4"/>
    <w:basedOn w:val="Normal"/>
    <w:next w:val="Normal"/>
    <w:link w:val="Heading4Char"/>
    <w:unhideWhenUsed/>
    <w:qFormat/>
    <w:rsid w:val="00032618"/>
    <w:pPr>
      <w:numPr>
        <w:ilvl w:val="3"/>
        <w:numId w:val="2"/>
      </w:numPr>
      <w:pBdr>
        <w:top w:val="dotted" w:sz="6" w:space="2" w:color="4472C4" w:themeColor="accent1"/>
      </w:pBdr>
      <w:spacing w:before="200" w:after="0"/>
      <w:outlineLvl w:val="3"/>
    </w:pPr>
    <w:rPr>
      <w:caps/>
      <w:color w:val="2F5496" w:themeColor="accent1" w:themeShade="BF"/>
      <w:spacing w:val="10"/>
    </w:rPr>
  </w:style>
  <w:style w:type="paragraph" w:styleId="Heading5">
    <w:name w:val="heading 5"/>
    <w:basedOn w:val="Normal"/>
    <w:next w:val="Normal"/>
    <w:link w:val="Heading5Char"/>
    <w:unhideWhenUsed/>
    <w:qFormat/>
    <w:rsid w:val="00032618"/>
    <w:pPr>
      <w:numPr>
        <w:ilvl w:val="4"/>
        <w:numId w:val="2"/>
      </w:numPr>
      <w:pBdr>
        <w:bottom w:val="single" w:sz="6" w:space="1" w:color="4472C4" w:themeColor="accent1"/>
      </w:pBdr>
      <w:spacing w:before="200" w:after="0"/>
      <w:outlineLvl w:val="4"/>
    </w:pPr>
    <w:rPr>
      <w:caps/>
      <w:color w:val="2F5496" w:themeColor="accent1" w:themeShade="BF"/>
      <w:spacing w:val="10"/>
    </w:rPr>
  </w:style>
  <w:style w:type="paragraph" w:styleId="Heading6">
    <w:name w:val="heading 6"/>
    <w:basedOn w:val="Normal"/>
    <w:next w:val="Normal"/>
    <w:link w:val="Heading6Char"/>
    <w:unhideWhenUsed/>
    <w:qFormat/>
    <w:rsid w:val="00032618"/>
    <w:pPr>
      <w:numPr>
        <w:ilvl w:val="5"/>
        <w:numId w:val="2"/>
      </w:numPr>
      <w:pBdr>
        <w:bottom w:val="dotted" w:sz="6" w:space="1" w:color="4472C4" w:themeColor="accent1"/>
      </w:pBdr>
      <w:spacing w:before="200" w:after="0"/>
      <w:outlineLvl w:val="5"/>
    </w:pPr>
    <w:rPr>
      <w:caps/>
      <w:color w:val="2F5496" w:themeColor="accent1" w:themeShade="BF"/>
      <w:spacing w:val="10"/>
    </w:rPr>
  </w:style>
  <w:style w:type="paragraph" w:styleId="Heading7">
    <w:name w:val="heading 7"/>
    <w:basedOn w:val="Normal"/>
    <w:next w:val="Normal"/>
    <w:link w:val="Heading7Char"/>
    <w:unhideWhenUsed/>
    <w:qFormat/>
    <w:rsid w:val="00032618"/>
    <w:pPr>
      <w:numPr>
        <w:ilvl w:val="6"/>
        <w:numId w:val="2"/>
      </w:numPr>
      <w:spacing w:before="200" w:after="0"/>
      <w:outlineLvl w:val="6"/>
    </w:pPr>
    <w:rPr>
      <w:caps/>
      <w:color w:val="2F5496" w:themeColor="accent1" w:themeShade="BF"/>
      <w:spacing w:val="10"/>
    </w:rPr>
  </w:style>
  <w:style w:type="paragraph" w:styleId="Heading8">
    <w:name w:val="heading 8"/>
    <w:basedOn w:val="Normal"/>
    <w:next w:val="Normal"/>
    <w:link w:val="Heading8Char"/>
    <w:uiPriority w:val="9"/>
    <w:semiHidden/>
    <w:unhideWhenUsed/>
    <w:qFormat/>
    <w:rsid w:val="00032618"/>
    <w:pPr>
      <w:numPr>
        <w:ilvl w:val="7"/>
        <w:numId w:val="2"/>
      </w:numPr>
      <w:spacing w:before="200" w:after="0"/>
      <w:outlineLvl w:val="7"/>
    </w:pPr>
    <w:rPr>
      <w:caps/>
      <w:spacing w:val="10"/>
      <w:sz w:val="18"/>
      <w:szCs w:val="18"/>
    </w:rPr>
  </w:style>
  <w:style w:type="paragraph" w:styleId="Heading9">
    <w:name w:val="heading 9"/>
    <w:basedOn w:val="Normal"/>
    <w:next w:val="Normal"/>
    <w:link w:val="Heading9Char"/>
    <w:semiHidden/>
    <w:unhideWhenUsed/>
    <w:qFormat/>
    <w:rsid w:val="00032618"/>
    <w:pPr>
      <w:numPr>
        <w:ilvl w:val="8"/>
        <w:numId w:val="2"/>
      </w:num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2618"/>
    <w:rPr>
      <w:caps/>
      <w:color w:val="FFFFFF" w:themeColor="background1"/>
      <w:spacing w:val="15"/>
      <w:sz w:val="22"/>
      <w:szCs w:val="22"/>
      <w:shd w:val="clear" w:color="auto" w:fill="4472C4" w:themeFill="accent1"/>
    </w:rPr>
  </w:style>
  <w:style w:type="character" w:customStyle="1" w:styleId="Heading2Char">
    <w:name w:val="Heading 2 Char"/>
    <w:basedOn w:val="DefaultParagraphFont"/>
    <w:link w:val="Heading2"/>
    <w:uiPriority w:val="9"/>
    <w:rsid w:val="00032618"/>
    <w:rPr>
      <w:caps/>
      <w:spacing w:val="15"/>
      <w:shd w:val="clear" w:color="auto" w:fill="D9E2F3" w:themeFill="accent1" w:themeFillTint="33"/>
    </w:rPr>
  </w:style>
  <w:style w:type="character" w:customStyle="1" w:styleId="Heading3Char">
    <w:name w:val="Heading 3 Char"/>
    <w:basedOn w:val="DefaultParagraphFont"/>
    <w:link w:val="Heading3"/>
    <w:rsid w:val="007A726E"/>
    <w:rPr>
      <w:rFonts w:asciiTheme="majorHAnsi" w:eastAsia="Times New Roman" w:hAnsiTheme="majorHAnsi" w:cstheme="majorHAnsi"/>
      <w:b/>
      <w:bCs/>
      <w:color w:val="FFFFFF"/>
      <w:lang w:val="en-GB" w:eastAsia="en-GB"/>
    </w:rPr>
  </w:style>
  <w:style w:type="character" w:customStyle="1" w:styleId="Heading4Char">
    <w:name w:val="Heading 4 Char"/>
    <w:basedOn w:val="DefaultParagraphFont"/>
    <w:link w:val="Heading4"/>
    <w:rsid w:val="00032618"/>
    <w:rPr>
      <w:caps/>
      <w:color w:val="2F5496" w:themeColor="accent1" w:themeShade="BF"/>
      <w:spacing w:val="10"/>
    </w:rPr>
  </w:style>
  <w:style w:type="character" w:customStyle="1" w:styleId="Heading5Char">
    <w:name w:val="Heading 5 Char"/>
    <w:basedOn w:val="DefaultParagraphFont"/>
    <w:link w:val="Heading5"/>
    <w:rsid w:val="00032618"/>
    <w:rPr>
      <w:caps/>
      <w:color w:val="2F5496" w:themeColor="accent1" w:themeShade="BF"/>
      <w:spacing w:val="10"/>
    </w:rPr>
  </w:style>
  <w:style w:type="character" w:customStyle="1" w:styleId="Heading6Char">
    <w:name w:val="Heading 6 Char"/>
    <w:basedOn w:val="DefaultParagraphFont"/>
    <w:link w:val="Heading6"/>
    <w:rsid w:val="00032618"/>
    <w:rPr>
      <w:caps/>
      <w:color w:val="2F5496" w:themeColor="accent1" w:themeShade="BF"/>
      <w:spacing w:val="10"/>
    </w:rPr>
  </w:style>
  <w:style w:type="character" w:customStyle="1" w:styleId="Heading7Char">
    <w:name w:val="Heading 7 Char"/>
    <w:basedOn w:val="DefaultParagraphFont"/>
    <w:link w:val="Heading7"/>
    <w:rsid w:val="00032618"/>
    <w:rPr>
      <w:caps/>
      <w:color w:val="2F5496" w:themeColor="accent1" w:themeShade="BF"/>
      <w:spacing w:val="10"/>
    </w:rPr>
  </w:style>
  <w:style w:type="character" w:customStyle="1" w:styleId="Heading8Char">
    <w:name w:val="Heading 8 Char"/>
    <w:basedOn w:val="DefaultParagraphFont"/>
    <w:link w:val="Heading8"/>
    <w:uiPriority w:val="9"/>
    <w:semiHidden/>
    <w:rsid w:val="00032618"/>
    <w:rPr>
      <w:caps/>
      <w:spacing w:val="10"/>
      <w:sz w:val="18"/>
      <w:szCs w:val="18"/>
    </w:rPr>
  </w:style>
  <w:style w:type="character" w:customStyle="1" w:styleId="Heading9Char">
    <w:name w:val="Heading 9 Char"/>
    <w:basedOn w:val="DefaultParagraphFont"/>
    <w:link w:val="Heading9"/>
    <w:semiHidden/>
    <w:rsid w:val="00032618"/>
    <w:rPr>
      <w:i/>
      <w:iCs/>
      <w:caps/>
      <w:spacing w:val="10"/>
      <w:sz w:val="18"/>
      <w:szCs w:val="18"/>
    </w:rPr>
  </w:style>
  <w:style w:type="paragraph" w:styleId="Title">
    <w:name w:val="Title"/>
    <w:basedOn w:val="Normal"/>
    <w:next w:val="Normal"/>
    <w:link w:val="TitleChar"/>
    <w:uiPriority w:val="10"/>
    <w:qFormat/>
    <w:rsid w:val="00032618"/>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itleChar">
    <w:name w:val="Title Char"/>
    <w:basedOn w:val="DefaultParagraphFont"/>
    <w:link w:val="Title"/>
    <w:uiPriority w:val="10"/>
    <w:rsid w:val="00032618"/>
    <w:rPr>
      <w:rFonts w:asciiTheme="majorHAnsi" w:eastAsiaTheme="majorEastAsia" w:hAnsiTheme="majorHAnsi" w:cstheme="majorBidi"/>
      <w:caps/>
      <w:color w:val="4472C4" w:themeColor="accent1"/>
      <w:spacing w:val="10"/>
      <w:sz w:val="52"/>
      <w:szCs w:val="52"/>
    </w:rPr>
  </w:style>
  <w:style w:type="paragraph" w:styleId="BodyText">
    <w:name w:val="Body Text"/>
    <w:basedOn w:val="Normal"/>
    <w:link w:val="BodyTextChar"/>
    <w:rsid w:val="00004A13"/>
    <w:pPr>
      <w:widowControl w:val="0"/>
    </w:pPr>
    <w:rPr>
      <w:rFonts w:ascii="Arial" w:hAnsi="Arial"/>
      <w:snapToGrid w:val="0"/>
    </w:rPr>
  </w:style>
  <w:style w:type="character" w:customStyle="1" w:styleId="BodyTextChar">
    <w:name w:val="Body Text Char"/>
    <w:link w:val="BodyText"/>
    <w:rsid w:val="00A54F7C"/>
    <w:rPr>
      <w:rFonts w:ascii="Arial" w:hAnsi="Arial"/>
      <w:snapToGrid w:val="0"/>
    </w:rPr>
  </w:style>
  <w:style w:type="paragraph" w:styleId="TOC1">
    <w:name w:val="toc 1"/>
    <w:basedOn w:val="Normal"/>
    <w:next w:val="Normal"/>
    <w:autoRedefine/>
    <w:uiPriority w:val="39"/>
    <w:rsid w:val="0099754E"/>
    <w:pPr>
      <w:tabs>
        <w:tab w:val="right" w:leader="dot" w:pos="9017"/>
      </w:tabs>
      <w:spacing w:before="240" w:after="120"/>
    </w:pPr>
    <w:rPr>
      <w:rFonts w:asciiTheme="majorHAnsi" w:hAnsiTheme="majorHAnsi"/>
      <w:bCs/>
      <w:noProof/>
      <w:lang w:val="en-GB"/>
    </w:rPr>
  </w:style>
  <w:style w:type="paragraph" w:styleId="TOC2">
    <w:name w:val="toc 2"/>
    <w:basedOn w:val="Normal"/>
    <w:next w:val="Normal"/>
    <w:autoRedefine/>
    <w:uiPriority w:val="39"/>
    <w:rsid w:val="00C56AD6"/>
    <w:pPr>
      <w:spacing w:before="0" w:after="0" w:line="240" w:lineRule="auto"/>
      <w:ind w:left="221"/>
    </w:pPr>
    <w:rPr>
      <w:rFonts w:asciiTheme="majorHAnsi" w:hAnsiTheme="majorHAnsi"/>
      <w:iCs/>
    </w:rPr>
  </w:style>
  <w:style w:type="paragraph" w:styleId="TOC3">
    <w:name w:val="toc 3"/>
    <w:basedOn w:val="Normal"/>
    <w:next w:val="Normal"/>
    <w:autoRedefine/>
    <w:uiPriority w:val="39"/>
    <w:rsid w:val="00D641D8"/>
    <w:pPr>
      <w:spacing w:before="0" w:after="0" w:line="240" w:lineRule="auto"/>
      <w:ind w:left="720"/>
    </w:pPr>
    <w:rPr>
      <w:rFonts w:asciiTheme="majorHAnsi" w:hAnsiTheme="majorHAnsi"/>
    </w:rPr>
  </w:style>
  <w:style w:type="paragraph" w:styleId="TOC4">
    <w:name w:val="toc 4"/>
    <w:basedOn w:val="Normal"/>
    <w:next w:val="Normal"/>
    <w:autoRedefine/>
    <w:uiPriority w:val="39"/>
    <w:rsid w:val="00004A13"/>
    <w:pPr>
      <w:ind w:left="660"/>
    </w:pPr>
  </w:style>
  <w:style w:type="paragraph" w:styleId="TOC5">
    <w:name w:val="toc 5"/>
    <w:basedOn w:val="Normal"/>
    <w:next w:val="Normal"/>
    <w:autoRedefine/>
    <w:uiPriority w:val="39"/>
    <w:rsid w:val="00004A13"/>
    <w:pPr>
      <w:ind w:left="880"/>
    </w:pPr>
  </w:style>
  <w:style w:type="paragraph" w:styleId="TOC6">
    <w:name w:val="toc 6"/>
    <w:basedOn w:val="Normal"/>
    <w:next w:val="Normal"/>
    <w:autoRedefine/>
    <w:uiPriority w:val="39"/>
    <w:rsid w:val="00004A13"/>
    <w:pPr>
      <w:ind w:left="1100"/>
    </w:pPr>
  </w:style>
  <w:style w:type="paragraph" w:styleId="TOC7">
    <w:name w:val="toc 7"/>
    <w:basedOn w:val="Normal"/>
    <w:next w:val="Normal"/>
    <w:autoRedefine/>
    <w:uiPriority w:val="39"/>
    <w:rsid w:val="00004A13"/>
    <w:pPr>
      <w:ind w:left="1320"/>
    </w:pPr>
  </w:style>
  <w:style w:type="paragraph" w:styleId="TOC8">
    <w:name w:val="toc 8"/>
    <w:basedOn w:val="Normal"/>
    <w:next w:val="Normal"/>
    <w:autoRedefine/>
    <w:uiPriority w:val="39"/>
    <w:rsid w:val="00004A13"/>
    <w:pPr>
      <w:ind w:left="1540"/>
    </w:pPr>
  </w:style>
  <w:style w:type="paragraph" w:styleId="TOC9">
    <w:name w:val="toc 9"/>
    <w:basedOn w:val="Normal"/>
    <w:next w:val="Normal"/>
    <w:autoRedefine/>
    <w:uiPriority w:val="39"/>
    <w:rsid w:val="00004A13"/>
    <w:pPr>
      <w:ind w:left="1760"/>
    </w:pPr>
  </w:style>
  <w:style w:type="character" w:styleId="Hyperlink">
    <w:name w:val="Hyperlink"/>
    <w:uiPriority w:val="99"/>
    <w:rsid w:val="00004A13"/>
    <w:rPr>
      <w:color w:val="0000FF"/>
      <w:u w:val="single"/>
    </w:rPr>
  </w:style>
  <w:style w:type="paragraph" w:styleId="Caption">
    <w:name w:val="caption"/>
    <w:basedOn w:val="Normal"/>
    <w:next w:val="Normal"/>
    <w:uiPriority w:val="35"/>
    <w:unhideWhenUsed/>
    <w:qFormat/>
    <w:rsid w:val="00032618"/>
    <w:rPr>
      <w:b/>
      <w:bCs/>
      <w:color w:val="2F5496" w:themeColor="accent1" w:themeShade="BF"/>
      <w:sz w:val="16"/>
      <w:szCs w:val="16"/>
    </w:rPr>
  </w:style>
  <w:style w:type="paragraph" w:styleId="TableofFigures">
    <w:name w:val="table of figures"/>
    <w:basedOn w:val="Normal"/>
    <w:next w:val="Normal"/>
    <w:semiHidden/>
    <w:rsid w:val="00004A13"/>
    <w:pPr>
      <w:ind w:left="440" w:hanging="440"/>
    </w:pPr>
  </w:style>
  <w:style w:type="paragraph" w:styleId="Footer">
    <w:name w:val="footer"/>
    <w:basedOn w:val="Normal"/>
    <w:link w:val="FooterChar"/>
    <w:uiPriority w:val="99"/>
    <w:rsid w:val="00004A13"/>
    <w:pPr>
      <w:tabs>
        <w:tab w:val="center" w:pos="4320"/>
        <w:tab w:val="right" w:pos="8640"/>
      </w:tabs>
    </w:pPr>
  </w:style>
  <w:style w:type="character" w:customStyle="1" w:styleId="FooterChar">
    <w:name w:val="Footer Char"/>
    <w:link w:val="Footer"/>
    <w:uiPriority w:val="99"/>
    <w:rsid w:val="00F7614F"/>
    <w:rPr>
      <w:sz w:val="22"/>
    </w:rPr>
  </w:style>
  <w:style w:type="character" w:styleId="PageNumber">
    <w:name w:val="page number"/>
    <w:basedOn w:val="DefaultParagraphFont"/>
    <w:rsid w:val="00004A13"/>
  </w:style>
  <w:style w:type="paragraph" w:customStyle="1" w:styleId="xl25">
    <w:name w:val="xl25"/>
    <w:basedOn w:val="Normal"/>
    <w:rsid w:val="00004A13"/>
    <w:pPr>
      <w:spacing w:beforeAutospacing="1" w:after="100" w:afterAutospacing="1"/>
      <w:jc w:val="right"/>
      <w:textAlignment w:val="top"/>
    </w:pPr>
    <w:rPr>
      <w:szCs w:val="22"/>
    </w:rPr>
  </w:style>
  <w:style w:type="paragraph" w:customStyle="1" w:styleId="xl26">
    <w:name w:val="xl26"/>
    <w:basedOn w:val="Normal"/>
    <w:rsid w:val="00004A13"/>
    <w:pPr>
      <w:spacing w:beforeAutospacing="1" w:after="100" w:afterAutospacing="1"/>
      <w:textAlignment w:val="top"/>
    </w:pPr>
    <w:rPr>
      <w:szCs w:val="22"/>
    </w:rPr>
  </w:style>
  <w:style w:type="paragraph" w:customStyle="1" w:styleId="xl27">
    <w:name w:val="xl27"/>
    <w:basedOn w:val="Normal"/>
    <w:rsid w:val="00004A13"/>
    <w:pPr>
      <w:spacing w:beforeAutospacing="1" w:after="100" w:afterAutospacing="1"/>
      <w:jc w:val="right"/>
    </w:pPr>
    <w:rPr>
      <w:szCs w:val="22"/>
    </w:rPr>
  </w:style>
  <w:style w:type="paragraph" w:customStyle="1" w:styleId="xl28">
    <w:name w:val="xl28"/>
    <w:basedOn w:val="Normal"/>
    <w:rsid w:val="00004A13"/>
    <w:pPr>
      <w:spacing w:beforeAutospacing="1" w:after="100" w:afterAutospacing="1"/>
      <w:jc w:val="right"/>
    </w:pPr>
    <w:rPr>
      <w:rFonts w:ascii="Arial" w:hAnsi="Arial" w:cs="Arial"/>
      <w:sz w:val="24"/>
      <w:szCs w:val="24"/>
    </w:rPr>
  </w:style>
  <w:style w:type="paragraph" w:customStyle="1" w:styleId="xl29">
    <w:name w:val="xl29"/>
    <w:basedOn w:val="Normal"/>
    <w:rsid w:val="00004A13"/>
    <w:pPr>
      <w:pBdr>
        <w:bottom w:val="single" w:sz="12" w:space="0" w:color="auto"/>
      </w:pBdr>
      <w:spacing w:beforeAutospacing="1" w:after="100" w:afterAutospacing="1"/>
      <w:jc w:val="right"/>
      <w:textAlignment w:val="top"/>
    </w:pPr>
    <w:rPr>
      <w:rFonts w:ascii="Arial" w:hAnsi="Arial" w:cs="Arial"/>
      <w:sz w:val="24"/>
      <w:szCs w:val="24"/>
    </w:rPr>
  </w:style>
  <w:style w:type="paragraph" w:styleId="BodyText2">
    <w:name w:val="Body Text 2"/>
    <w:basedOn w:val="Normal"/>
    <w:link w:val="BodyText2Char"/>
    <w:rsid w:val="00004A13"/>
    <w:pPr>
      <w:autoSpaceDE w:val="0"/>
      <w:autoSpaceDN w:val="0"/>
      <w:adjustRightInd w:val="0"/>
      <w:jc w:val="center"/>
    </w:pPr>
    <w:rPr>
      <w:rFonts w:ascii="Arial" w:hAnsi="Arial" w:cs="Arial"/>
    </w:rPr>
  </w:style>
  <w:style w:type="character" w:customStyle="1" w:styleId="BodyText2Char">
    <w:name w:val="Body Text 2 Char"/>
    <w:link w:val="BodyText2"/>
    <w:rsid w:val="00A54F7C"/>
    <w:rPr>
      <w:rFonts w:ascii="Arial" w:hAnsi="Arial" w:cs="Arial"/>
    </w:rPr>
  </w:style>
  <w:style w:type="paragraph" w:styleId="PlainText">
    <w:name w:val="Plain Text"/>
    <w:basedOn w:val="Normal"/>
    <w:link w:val="PlainTextChar"/>
    <w:uiPriority w:val="99"/>
    <w:rsid w:val="00004A13"/>
    <w:rPr>
      <w:rFonts w:ascii="Courier New" w:hAnsi="Courier New"/>
      <w:lang w:val="en-GB"/>
    </w:rPr>
  </w:style>
  <w:style w:type="paragraph" w:styleId="Header">
    <w:name w:val="header"/>
    <w:basedOn w:val="Normal"/>
    <w:link w:val="HeaderChar"/>
    <w:uiPriority w:val="99"/>
    <w:rsid w:val="00004A13"/>
    <w:pPr>
      <w:tabs>
        <w:tab w:val="center" w:pos="4320"/>
        <w:tab w:val="right" w:pos="8640"/>
      </w:tabs>
    </w:pPr>
  </w:style>
  <w:style w:type="character" w:customStyle="1" w:styleId="HeaderChar">
    <w:name w:val="Header Char"/>
    <w:link w:val="Header"/>
    <w:uiPriority w:val="99"/>
    <w:rsid w:val="007A5B2C"/>
    <w:rPr>
      <w:sz w:val="22"/>
    </w:rPr>
  </w:style>
  <w:style w:type="character" w:styleId="FollowedHyperlink">
    <w:name w:val="FollowedHyperlink"/>
    <w:uiPriority w:val="99"/>
    <w:rsid w:val="00004A13"/>
    <w:rPr>
      <w:color w:val="800080"/>
      <w:u w:val="single"/>
    </w:rPr>
  </w:style>
  <w:style w:type="character" w:customStyle="1" w:styleId="2H">
    <w:name w:val="2H"/>
    <w:rsid w:val="004E5165"/>
    <w:rPr>
      <w:b/>
      <w:sz w:val="24"/>
    </w:rPr>
  </w:style>
  <w:style w:type="paragraph" w:styleId="FootnoteText">
    <w:name w:val="footnote text"/>
    <w:basedOn w:val="Normal"/>
    <w:link w:val="FootnoteTextChar"/>
    <w:rsid w:val="00F960F0"/>
    <w:pPr>
      <w:widowControl w:val="0"/>
    </w:pPr>
  </w:style>
  <w:style w:type="character" w:customStyle="1" w:styleId="FootnoteTextChar">
    <w:name w:val="Footnote Text Char"/>
    <w:basedOn w:val="DefaultParagraphFont"/>
    <w:link w:val="FootnoteText"/>
    <w:rsid w:val="00C90B2E"/>
  </w:style>
  <w:style w:type="character" w:customStyle="1" w:styleId="1H">
    <w:name w:val="1H"/>
    <w:rsid w:val="00DC4FB1"/>
    <w:rPr>
      <w:b/>
      <w:sz w:val="28"/>
    </w:rPr>
  </w:style>
  <w:style w:type="paragraph" w:styleId="BalloonText">
    <w:name w:val="Balloon Text"/>
    <w:basedOn w:val="Normal"/>
    <w:link w:val="BalloonTextChar"/>
    <w:uiPriority w:val="99"/>
    <w:semiHidden/>
    <w:rsid w:val="006203AD"/>
    <w:rPr>
      <w:rFonts w:ascii="Tahoma" w:hAnsi="Tahoma" w:cs="Tahoma"/>
      <w:sz w:val="16"/>
      <w:szCs w:val="16"/>
    </w:rPr>
  </w:style>
  <w:style w:type="paragraph" w:customStyle="1" w:styleId="TL">
    <w:name w:val="TL"/>
    <w:rsid w:val="00276C8D"/>
    <w:pPr>
      <w:widowControl w:val="0"/>
      <w:tabs>
        <w:tab w:val="left" w:pos="-1440"/>
        <w:tab w:val="left" w:pos="-720"/>
        <w:tab w:val="left" w:pos="0"/>
        <w:tab w:val="left" w:pos="199"/>
        <w:tab w:val="left" w:pos="399"/>
        <w:tab w:val="left" w:pos="600"/>
        <w:tab w:val="left" w:pos="720"/>
        <w:tab w:val="left" w:pos="799"/>
        <w:tab w:val="left" w:pos="999"/>
        <w:tab w:val="left" w:pos="1200"/>
        <w:tab w:val="left" w:pos="1399"/>
        <w:tab w:val="left" w:pos="1440"/>
        <w:tab w:val="left" w:pos="1599"/>
        <w:tab w:val="left" w:pos="1800"/>
        <w:tab w:val="left" w:pos="1999"/>
        <w:tab w:val="left" w:pos="2160"/>
        <w:tab w:val="left" w:pos="2199"/>
        <w:tab w:val="left" w:pos="2400"/>
        <w:tab w:val="left" w:pos="2880"/>
      </w:tabs>
    </w:pPr>
    <w:rPr>
      <w:sz w:val="24"/>
    </w:rPr>
  </w:style>
  <w:style w:type="character" w:customStyle="1" w:styleId="BT">
    <w:name w:val="BT"/>
    <w:rsid w:val="00276C8D"/>
    <w:rPr>
      <w:rFonts w:ascii="Univers" w:hAnsi="Univers"/>
      <w:sz w:val="21"/>
    </w:rPr>
  </w:style>
  <w:style w:type="table" w:styleId="TableGrid">
    <w:name w:val="Table Grid"/>
    <w:basedOn w:val="TableNormal"/>
    <w:uiPriority w:val="39"/>
    <w:rsid w:val="00120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E5A95"/>
    <w:rPr>
      <w:sz w:val="16"/>
      <w:szCs w:val="16"/>
    </w:rPr>
  </w:style>
  <w:style w:type="paragraph" w:styleId="CommentText">
    <w:name w:val="annotation text"/>
    <w:basedOn w:val="Normal"/>
    <w:link w:val="CommentTextChar"/>
    <w:uiPriority w:val="99"/>
    <w:rsid w:val="00A734AF"/>
    <w:pPr>
      <w:spacing w:before="0" w:after="120" w:line="240" w:lineRule="auto"/>
    </w:pPr>
    <w:rPr>
      <w:rFonts w:ascii="Calibri Light" w:hAnsi="Calibri Light"/>
    </w:rPr>
  </w:style>
  <w:style w:type="character" w:customStyle="1" w:styleId="CommentTextChar">
    <w:name w:val="Comment Text Char"/>
    <w:link w:val="CommentText"/>
    <w:uiPriority w:val="99"/>
    <w:locked/>
    <w:rsid w:val="00A734AF"/>
    <w:rPr>
      <w:rFonts w:ascii="Calibri Light" w:hAnsi="Calibri Light"/>
    </w:rPr>
  </w:style>
  <w:style w:type="paragraph" w:styleId="CommentSubject">
    <w:name w:val="annotation subject"/>
    <w:basedOn w:val="CommentText"/>
    <w:next w:val="CommentText"/>
    <w:link w:val="CommentSubjectChar"/>
    <w:uiPriority w:val="99"/>
    <w:semiHidden/>
    <w:rsid w:val="003E5A95"/>
    <w:rPr>
      <w:b/>
      <w:bCs/>
    </w:rPr>
  </w:style>
  <w:style w:type="paragraph" w:styleId="BodyTextIndent2">
    <w:name w:val="Body Text Indent 2"/>
    <w:basedOn w:val="Normal"/>
    <w:link w:val="BodyTextIndent2Char"/>
    <w:rsid w:val="00891BB3"/>
    <w:pPr>
      <w:spacing w:after="120" w:line="480" w:lineRule="auto"/>
      <w:ind w:left="360"/>
    </w:pPr>
  </w:style>
  <w:style w:type="character" w:styleId="FootnoteReference">
    <w:name w:val="footnote reference"/>
    <w:aliases w:val="BVI fnr,Footnotes refss,ftref,16 Point,Superscript 6 Point,Footnote Reference Number,nota pié di pagina,Times 10 Point,Exposant 3 Point,Footnote symbol,Footnote reference number,EN Footnote Reference,note TESI,4_G,16 Poin"/>
    <w:link w:val="Char2"/>
    <w:qFormat/>
    <w:rsid w:val="004F356E"/>
    <w:rPr>
      <w:vertAlign w:val="superscript"/>
    </w:rPr>
  </w:style>
  <w:style w:type="paragraph" w:customStyle="1" w:styleId="DecimalAligned">
    <w:name w:val="Decimal Aligned"/>
    <w:basedOn w:val="Normal"/>
    <w:uiPriority w:val="40"/>
    <w:rsid w:val="00C90B2E"/>
    <w:pPr>
      <w:tabs>
        <w:tab w:val="decimal" w:pos="360"/>
      </w:tabs>
    </w:pPr>
    <w:rPr>
      <w:rFonts w:ascii="Calibri" w:hAnsi="Calibri"/>
      <w:szCs w:val="22"/>
    </w:rPr>
  </w:style>
  <w:style w:type="character" w:styleId="SubtleEmphasis">
    <w:name w:val="Subtle Emphasis"/>
    <w:uiPriority w:val="19"/>
    <w:qFormat/>
    <w:rsid w:val="00032618"/>
    <w:rPr>
      <w:i/>
      <w:iCs/>
      <w:color w:val="1F3763" w:themeColor="accent1" w:themeShade="7F"/>
    </w:rPr>
  </w:style>
  <w:style w:type="table" w:customStyle="1" w:styleId="LightShading-Accent11">
    <w:name w:val="Light Shading - Accent 11"/>
    <w:basedOn w:val="TableNormal"/>
    <w:uiPriority w:val="60"/>
    <w:rsid w:val="00C90B2E"/>
    <w:rPr>
      <w:rFonts w:ascii="Calibri" w:hAnsi="Calibri"/>
      <w:color w:val="365F91"/>
      <w:sz w:val="22"/>
      <w:szCs w:val="22"/>
      <w:lang w:bidi="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3Deffects2">
    <w:name w:val="Table 3D effects 2"/>
    <w:basedOn w:val="TableNormal"/>
    <w:rsid w:val="00C90B2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90B2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90B2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90B2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3Deffects1">
    <w:name w:val="Table 3D effects 1"/>
    <w:basedOn w:val="TableNormal"/>
    <w:rsid w:val="00C90B2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NoSpacing">
    <w:name w:val="No Spacing"/>
    <w:link w:val="NoSpacingChar"/>
    <w:uiPriority w:val="1"/>
    <w:qFormat/>
    <w:rsid w:val="00032618"/>
    <w:pPr>
      <w:spacing w:after="0" w:line="240" w:lineRule="auto"/>
    </w:pPr>
  </w:style>
  <w:style w:type="character" w:customStyle="1" w:styleId="NoSpacingChar">
    <w:name w:val="No Spacing Char"/>
    <w:link w:val="NoSpacing"/>
    <w:uiPriority w:val="1"/>
    <w:rsid w:val="00631461"/>
  </w:style>
  <w:style w:type="character" w:styleId="Emphasis">
    <w:name w:val="Emphasis"/>
    <w:qFormat/>
    <w:rsid w:val="00032618"/>
    <w:rPr>
      <w:caps/>
      <w:color w:val="1F3763" w:themeColor="accent1" w:themeShade="7F"/>
      <w:spacing w:val="5"/>
    </w:rPr>
  </w:style>
  <w:style w:type="character" w:styleId="BookTitle">
    <w:name w:val="Book Title"/>
    <w:uiPriority w:val="33"/>
    <w:qFormat/>
    <w:rsid w:val="00032618"/>
    <w:rPr>
      <w:b/>
      <w:bCs/>
      <w:i/>
      <w:iCs/>
      <w:spacing w:val="0"/>
    </w:rPr>
  </w:style>
  <w:style w:type="paragraph" w:styleId="ListParagraph">
    <w:name w:val="List Paragraph"/>
    <w:basedOn w:val="Normal"/>
    <w:link w:val="ListParagraphChar"/>
    <w:uiPriority w:val="34"/>
    <w:qFormat/>
    <w:rsid w:val="00CA0930"/>
    <w:pPr>
      <w:ind w:left="720"/>
      <w:contextualSpacing/>
    </w:pPr>
  </w:style>
  <w:style w:type="paragraph" w:styleId="NormalWeb">
    <w:name w:val="Normal (Web)"/>
    <w:basedOn w:val="Normal"/>
    <w:uiPriority w:val="99"/>
    <w:unhideWhenUsed/>
    <w:rsid w:val="00BA5261"/>
    <w:pPr>
      <w:spacing w:beforeAutospacing="1" w:after="100" w:afterAutospacing="1"/>
    </w:pPr>
    <w:rPr>
      <w:rFonts w:eastAsiaTheme="minorHAnsi"/>
      <w:sz w:val="24"/>
      <w:szCs w:val="24"/>
    </w:rPr>
  </w:style>
  <w:style w:type="paragraph" w:styleId="EndnoteText">
    <w:name w:val="endnote text"/>
    <w:basedOn w:val="Normal"/>
    <w:link w:val="EndnoteTextChar"/>
    <w:uiPriority w:val="99"/>
    <w:unhideWhenUsed/>
    <w:rsid w:val="00B103AD"/>
  </w:style>
  <w:style w:type="character" w:customStyle="1" w:styleId="EndnoteTextChar">
    <w:name w:val="Endnote Text Char"/>
    <w:basedOn w:val="DefaultParagraphFont"/>
    <w:link w:val="EndnoteText"/>
    <w:uiPriority w:val="99"/>
    <w:rsid w:val="00B103AD"/>
  </w:style>
  <w:style w:type="character" w:styleId="EndnoteReference">
    <w:name w:val="endnote reference"/>
    <w:basedOn w:val="DefaultParagraphFont"/>
    <w:unhideWhenUsed/>
    <w:rsid w:val="00B103AD"/>
    <w:rPr>
      <w:vertAlign w:val="superscript"/>
    </w:rPr>
  </w:style>
  <w:style w:type="character" w:customStyle="1" w:styleId="T">
    <w:name w:val="T"/>
    <w:rsid w:val="00EF64EC"/>
    <w:rPr>
      <w:rFonts w:ascii="Univers" w:hAnsi="Univers"/>
      <w:sz w:val="20"/>
    </w:rPr>
  </w:style>
  <w:style w:type="paragraph" w:styleId="Revision">
    <w:name w:val="Revision"/>
    <w:hidden/>
    <w:uiPriority w:val="99"/>
    <w:semiHidden/>
    <w:rsid w:val="00EF64EC"/>
    <w:rPr>
      <w:sz w:val="22"/>
    </w:rPr>
  </w:style>
  <w:style w:type="character" w:styleId="Strong">
    <w:name w:val="Strong"/>
    <w:uiPriority w:val="22"/>
    <w:qFormat/>
    <w:rsid w:val="00032618"/>
    <w:rPr>
      <w:b/>
      <w:bCs/>
    </w:rPr>
  </w:style>
  <w:style w:type="paragraph" w:styleId="Subtitle">
    <w:name w:val="Subtitle"/>
    <w:basedOn w:val="Normal"/>
    <w:next w:val="Normal"/>
    <w:link w:val="SubtitleChar"/>
    <w:uiPriority w:val="11"/>
    <w:qFormat/>
    <w:rsid w:val="00032618"/>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032618"/>
    <w:rPr>
      <w:caps/>
      <w:color w:val="595959" w:themeColor="text1" w:themeTint="A6"/>
      <w:spacing w:val="10"/>
      <w:sz w:val="21"/>
      <w:szCs w:val="21"/>
    </w:rPr>
  </w:style>
  <w:style w:type="paragraph" w:styleId="Quote">
    <w:name w:val="Quote"/>
    <w:basedOn w:val="Normal"/>
    <w:next w:val="Normal"/>
    <w:link w:val="QuoteChar"/>
    <w:uiPriority w:val="29"/>
    <w:qFormat/>
    <w:rsid w:val="00032618"/>
    <w:rPr>
      <w:i/>
      <w:iCs/>
      <w:sz w:val="24"/>
      <w:szCs w:val="24"/>
    </w:rPr>
  </w:style>
  <w:style w:type="character" w:customStyle="1" w:styleId="QuoteChar">
    <w:name w:val="Quote Char"/>
    <w:basedOn w:val="DefaultParagraphFont"/>
    <w:link w:val="Quote"/>
    <w:uiPriority w:val="29"/>
    <w:rsid w:val="00032618"/>
    <w:rPr>
      <w:i/>
      <w:iCs/>
      <w:sz w:val="24"/>
      <w:szCs w:val="24"/>
    </w:rPr>
  </w:style>
  <w:style w:type="paragraph" w:styleId="IntenseQuote">
    <w:name w:val="Intense Quote"/>
    <w:basedOn w:val="Normal"/>
    <w:next w:val="Normal"/>
    <w:link w:val="IntenseQuoteChar"/>
    <w:uiPriority w:val="30"/>
    <w:qFormat/>
    <w:rsid w:val="00032618"/>
    <w:pPr>
      <w:spacing w:before="240" w:after="240" w:line="240" w:lineRule="auto"/>
      <w:ind w:left="1080" w:right="1080"/>
      <w:jc w:val="center"/>
    </w:pPr>
    <w:rPr>
      <w:color w:val="4472C4" w:themeColor="accent1"/>
      <w:sz w:val="24"/>
      <w:szCs w:val="24"/>
    </w:rPr>
  </w:style>
  <w:style w:type="character" w:customStyle="1" w:styleId="IntenseQuoteChar">
    <w:name w:val="Intense Quote Char"/>
    <w:basedOn w:val="DefaultParagraphFont"/>
    <w:link w:val="IntenseQuote"/>
    <w:uiPriority w:val="30"/>
    <w:rsid w:val="00032618"/>
    <w:rPr>
      <w:color w:val="4472C4" w:themeColor="accent1"/>
      <w:sz w:val="24"/>
      <w:szCs w:val="24"/>
    </w:rPr>
  </w:style>
  <w:style w:type="character" w:styleId="IntenseEmphasis">
    <w:name w:val="Intense Emphasis"/>
    <w:uiPriority w:val="21"/>
    <w:qFormat/>
    <w:rsid w:val="00032618"/>
    <w:rPr>
      <w:b/>
      <w:bCs/>
      <w:caps/>
      <w:color w:val="1F3763" w:themeColor="accent1" w:themeShade="7F"/>
      <w:spacing w:val="10"/>
    </w:rPr>
  </w:style>
  <w:style w:type="character" w:styleId="SubtleReference">
    <w:name w:val="Subtle Reference"/>
    <w:qFormat/>
    <w:rsid w:val="00032618"/>
    <w:rPr>
      <w:b/>
      <w:bCs/>
      <w:color w:val="4472C4" w:themeColor="accent1"/>
    </w:rPr>
  </w:style>
  <w:style w:type="character" w:styleId="IntenseReference">
    <w:name w:val="Intense Reference"/>
    <w:uiPriority w:val="32"/>
    <w:qFormat/>
    <w:rsid w:val="00032618"/>
    <w:rPr>
      <w:b/>
      <w:bCs/>
      <w:i/>
      <w:iCs/>
      <w:caps/>
      <w:color w:val="4472C4" w:themeColor="accent1"/>
    </w:rPr>
  </w:style>
  <w:style w:type="paragraph" w:styleId="TOCHeading">
    <w:name w:val="TOC Heading"/>
    <w:basedOn w:val="Heading1"/>
    <w:next w:val="Normal"/>
    <w:uiPriority w:val="39"/>
    <w:unhideWhenUsed/>
    <w:qFormat/>
    <w:rsid w:val="00032618"/>
    <w:pPr>
      <w:outlineLvl w:val="9"/>
    </w:pPr>
  </w:style>
  <w:style w:type="paragraph" w:customStyle="1" w:styleId="EndNoteBibliography">
    <w:name w:val="EndNote Bibliography"/>
    <w:basedOn w:val="Normal"/>
    <w:link w:val="EndNoteBibliographyChar"/>
    <w:rsid w:val="00A54F7C"/>
    <w:pPr>
      <w:spacing w:before="0" w:line="240" w:lineRule="auto"/>
    </w:pPr>
    <w:rPr>
      <w:rFonts w:ascii="Calibri" w:eastAsia="Calibri" w:hAnsi="Calibri" w:cs="Calibri"/>
      <w:noProof/>
      <w:sz w:val="22"/>
      <w:szCs w:val="22"/>
    </w:rPr>
  </w:style>
  <w:style w:type="character" w:customStyle="1" w:styleId="EndNoteBibliographyChar">
    <w:name w:val="EndNote Bibliography Char"/>
    <w:link w:val="EndNoteBibliography"/>
    <w:rsid w:val="00A54F7C"/>
    <w:rPr>
      <w:rFonts w:ascii="Calibri" w:eastAsia="Calibri" w:hAnsi="Calibri" w:cs="Calibri"/>
      <w:noProof/>
      <w:sz w:val="22"/>
      <w:szCs w:val="22"/>
    </w:rPr>
  </w:style>
  <w:style w:type="paragraph" w:styleId="Bibliography">
    <w:name w:val="Bibliography"/>
    <w:basedOn w:val="Normal"/>
    <w:next w:val="Normal"/>
    <w:uiPriority w:val="37"/>
    <w:semiHidden/>
    <w:unhideWhenUsed/>
    <w:rsid w:val="00A54F7C"/>
  </w:style>
  <w:style w:type="paragraph" w:customStyle="1" w:styleId="Default">
    <w:name w:val="Default"/>
    <w:rsid w:val="00A54F7C"/>
    <w:pPr>
      <w:autoSpaceDE w:val="0"/>
      <w:autoSpaceDN w:val="0"/>
      <w:adjustRightInd w:val="0"/>
      <w:spacing w:before="0" w:after="0" w:line="240" w:lineRule="auto"/>
    </w:pPr>
    <w:rPr>
      <w:rFonts w:ascii="ScalaSansPro-Regular" w:hAnsi="ScalaSansPro-Regular" w:cs="ScalaSansPro-Regular"/>
      <w:color w:val="000000"/>
      <w:sz w:val="24"/>
      <w:szCs w:val="24"/>
    </w:rPr>
  </w:style>
  <w:style w:type="character" w:customStyle="1" w:styleId="A2">
    <w:name w:val="A2"/>
    <w:uiPriority w:val="99"/>
    <w:rsid w:val="00A54F7C"/>
    <w:rPr>
      <w:rFonts w:cs="ScalaSansPro-Regular"/>
      <w:color w:val="000000"/>
      <w:sz w:val="28"/>
      <w:szCs w:val="28"/>
    </w:rPr>
  </w:style>
  <w:style w:type="paragraph" w:customStyle="1" w:styleId="Instructionstointvw">
    <w:name w:val="Instructions to intvw"/>
    <w:basedOn w:val="Normal"/>
    <w:link w:val="InstructionstointvwChar4"/>
    <w:rsid w:val="00A54F7C"/>
    <w:pPr>
      <w:spacing w:before="0" w:after="0" w:line="240" w:lineRule="auto"/>
    </w:pPr>
    <w:rPr>
      <w:rFonts w:ascii="Times New Roman" w:eastAsia="Times New Roman" w:hAnsi="Times New Roman" w:cs="Times New Roman"/>
      <w:i/>
      <w:lang w:val="en-GB"/>
    </w:rPr>
  </w:style>
  <w:style w:type="paragraph" w:customStyle="1" w:styleId="msonormal0">
    <w:name w:val="msonormal"/>
    <w:basedOn w:val="Normal"/>
    <w:rsid w:val="009C66B0"/>
    <w:pPr>
      <w:spacing w:beforeAutospacing="1" w:after="100" w:afterAutospacing="1" w:line="240" w:lineRule="auto"/>
    </w:pPr>
    <w:rPr>
      <w:rFonts w:ascii="Times New Roman" w:eastAsia="Times New Roman" w:hAnsi="Times New Roman" w:cs="Times New Roman"/>
      <w:sz w:val="24"/>
      <w:szCs w:val="24"/>
    </w:rPr>
  </w:style>
  <w:style w:type="paragraph" w:customStyle="1" w:styleId="xl256">
    <w:name w:val="xl256"/>
    <w:basedOn w:val="Normal"/>
    <w:rsid w:val="009C66B0"/>
    <w:pPr>
      <w:spacing w:beforeAutospacing="1" w:after="100" w:afterAutospacing="1" w:line="240" w:lineRule="auto"/>
    </w:pPr>
    <w:rPr>
      <w:rFonts w:ascii="Arial" w:eastAsia="Times New Roman" w:hAnsi="Arial" w:cs="Arial"/>
      <w:sz w:val="24"/>
      <w:szCs w:val="24"/>
    </w:rPr>
  </w:style>
  <w:style w:type="paragraph" w:customStyle="1" w:styleId="xl257">
    <w:name w:val="xl257"/>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58">
    <w:name w:val="xl258"/>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59">
    <w:name w:val="xl259"/>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60">
    <w:name w:val="xl260"/>
    <w:basedOn w:val="Normal"/>
    <w:rsid w:val="009C66B0"/>
    <w:pPr>
      <w:pBdr>
        <w:top w:val="single" w:sz="4" w:space="0" w:color="auto"/>
        <w:left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261">
    <w:name w:val="xl261"/>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62">
    <w:name w:val="xl262"/>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63">
    <w:name w:val="xl263"/>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64">
    <w:name w:val="xl264"/>
    <w:basedOn w:val="Normal"/>
    <w:rsid w:val="009C66B0"/>
    <w:pPr>
      <w:pBdr>
        <w:bottom w:val="single" w:sz="4" w:space="0" w:color="auto"/>
      </w:pBdr>
      <w:spacing w:beforeAutospacing="1" w:after="100" w:afterAutospacing="1" w:line="240" w:lineRule="auto"/>
      <w:jc w:val="center"/>
    </w:pPr>
    <w:rPr>
      <w:rFonts w:ascii="Arial" w:eastAsia="Times New Roman" w:hAnsi="Arial" w:cs="Arial"/>
      <w:sz w:val="16"/>
      <w:szCs w:val="16"/>
    </w:rPr>
  </w:style>
  <w:style w:type="paragraph" w:customStyle="1" w:styleId="xl265">
    <w:name w:val="xl265"/>
    <w:basedOn w:val="Normal"/>
    <w:rsid w:val="009C66B0"/>
    <w:pPr>
      <w:spacing w:beforeAutospacing="1" w:after="100" w:afterAutospacing="1" w:line="240" w:lineRule="auto"/>
      <w:jc w:val="center"/>
    </w:pPr>
    <w:rPr>
      <w:rFonts w:ascii="Arial" w:eastAsia="Times New Roman" w:hAnsi="Arial" w:cs="Arial"/>
      <w:sz w:val="16"/>
      <w:szCs w:val="16"/>
    </w:rPr>
  </w:style>
  <w:style w:type="paragraph" w:customStyle="1" w:styleId="xl266">
    <w:name w:val="xl266"/>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67">
    <w:name w:val="xl267"/>
    <w:basedOn w:val="Normal"/>
    <w:rsid w:val="009C66B0"/>
    <w:pPr>
      <w:pBdr>
        <w:left w:val="single" w:sz="4" w:space="18" w:color="auto"/>
      </w:pBdr>
      <w:spacing w:beforeAutospacing="1" w:after="100" w:afterAutospacing="1" w:line="240" w:lineRule="auto"/>
      <w:ind w:firstLineChars="200" w:firstLine="200"/>
      <w:textAlignment w:val="center"/>
    </w:pPr>
    <w:rPr>
      <w:rFonts w:ascii="Arial" w:eastAsia="Times New Roman" w:hAnsi="Arial" w:cs="Arial"/>
      <w:sz w:val="16"/>
      <w:szCs w:val="16"/>
    </w:rPr>
  </w:style>
  <w:style w:type="paragraph" w:customStyle="1" w:styleId="xl268">
    <w:name w:val="xl268"/>
    <w:basedOn w:val="Normal"/>
    <w:rsid w:val="009C66B0"/>
    <w:pPr>
      <w:pBdr>
        <w:bottom w:val="single" w:sz="4" w:space="0" w:color="auto"/>
      </w:pBdr>
      <w:spacing w:beforeAutospacing="1" w:after="100" w:afterAutospacing="1" w:line="240" w:lineRule="auto"/>
      <w:jc w:val="center"/>
    </w:pPr>
    <w:rPr>
      <w:rFonts w:ascii="Arial" w:eastAsia="Times New Roman" w:hAnsi="Arial" w:cs="Arial"/>
      <w:color w:val="000000"/>
      <w:sz w:val="16"/>
      <w:szCs w:val="16"/>
    </w:rPr>
  </w:style>
  <w:style w:type="paragraph" w:customStyle="1" w:styleId="xl269">
    <w:name w:val="xl269"/>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70">
    <w:name w:val="xl270"/>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71">
    <w:name w:val="xl271"/>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72">
    <w:name w:val="xl272"/>
    <w:basedOn w:val="Normal"/>
    <w:rsid w:val="009C66B0"/>
    <w:pPr>
      <w:spacing w:beforeAutospacing="1" w:after="100" w:afterAutospacing="1" w:line="240" w:lineRule="auto"/>
    </w:pPr>
    <w:rPr>
      <w:rFonts w:ascii="Arial" w:eastAsia="Times New Roman" w:hAnsi="Arial" w:cs="Arial"/>
      <w:b/>
      <w:bCs/>
      <w:sz w:val="24"/>
      <w:szCs w:val="24"/>
    </w:rPr>
  </w:style>
  <w:style w:type="paragraph" w:customStyle="1" w:styleId="xl273">
    <w:name w:val="xl273"/>
    <w:basedOn w:val="Normal"/>
    <w:rsid w:val="009C66B0"/>
    <w:pPr>
      <w:pBdr>
        <w:top w:val="single" w:sz="4" w:space="0"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74">
    <w:name w:val="xl274"/>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b/>
      <w:bCs/>
      <w:sz w:val="16"/>
      <w:szCs w:val="16"/>
    </w:rPr>
  </w:style>
  <w:style w:type="paragraph" w:customStyle="1" w:styleId="xl275">
    <w:name w:val="xl275"/>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76">
    <w:name w:val="xl276"/>
    <w:basedOn w:val="Normal"/>
    <w:rsid w:val="009C66B0"/>
    <w:pPr>
      <w:pBdr>
        <w:top w:val="single" w:sz="4" w:space="0"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77">
    <w:name w:val="xl277"/>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b/>
      <w:bCs/>
      <w:sz w:val="16"/>
      <w:szCs w:val="16"/>
    </w:rPr>
  </w:style>
  <w:style w:type="paragraph" w:customStyle="1" w:styleId="xl278">
    <w:name w:val="xl278"/>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79">
    <w:name w:val="xl279"/>
    <w:basedOn w:val="Normal"/>
    <w:rsid w:val="009C66B0"/>
    <w:pPr>
      <w:pBdr>
        <w:top w:val="single" w:sz="4" w:space="0" w:color="auto"/>
        <w:right w:val="single" w:sz="4" w:space="9"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80">
    <w:name w:val="xl280"/>
    <w:basedOn w:val="Normal"/>
    <w:rsid w:val="009C66B0"/>
    <w:pPr>
      <w:pBdr>
        <w:right w:val="single" w:sz="4" w:space="9" w:color="auto"/>
      </w:pBdr>
      <w:spacing w:beforeAutospacing="1" w:after="100" w:afterAutospacing="1" w:line="240" w:lineRule="auto"/>
      <w:ind w:firstLineChars="100" w:firstLine="100"/>
      <w:jc w:val="right"/>
      <w:textAlignment w:val="center"/>
    </w:pPr>
    <w:rPr>
      <w:rFonts w:ascii="Arial" w:eastAsia="Times New Roman" w:hAnsi="Arial" w:cs="Arial"/>
      <w:b/>
      <w:bCs/>
      <w:sz w:val="16"/>
      <w:szCs w:val="16"/>
    </w:rPr>
  </w:style>
  <w:style w:type="paragraph" w:customStyle="1" w:styleId="xl281">
    <w:name w:val="xl281"/>
    <w:basedOn w:val="Normal"/>
    <w:rsid w:val="009C66B0"/>
    <w:pPr>
      <w:pBdr>
        <w:right w:val="single" w:sz="4" w:space="9"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82">
    <w:name w:val="xl282"/>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83">
    <w:name w:val="xl283"/>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84">
    <w:name w:val="xl284"/>
    <w:basedOn w:val="Normal"/>
    <w:rsid w:val="009C66B0"/>
    <w:pPr>
      <w:pBdr>
        <w:right w:val="single" w:sz="4" w:space="9"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85">
    <w:name w:val="xl285"/>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286">
    <w:name w:val="xl286"/>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87">
    <w:name w:val="xl287"/>
    <w:basedOn w:val="Normal"/>
    <w:rsid w:val="009C66B0"/>
    <w:pPr>
      <w:spacing w:beforeAutospacing="1" w:after="100" w:afterAutospacing="1" w:line="240" w:lineRule="auto"/>
      <w:textAlignment w:val="center"/>
    </w:pPr>
    <w:rPr>
      <w:rFonts w:ascii="Arial" w:eastAsia="Times New Roman" w:hAnsi="Arial" w:cs="Arial"/>
      <w:b/>
      <w:bCs/>
      <w:sz w:val="16"/>
      <w:szCs w:val="16"/>
    </w:rPr>
  </w:style>
  <w:style w:type="paragraph" w:customStyle="1" w:styleId="xl288">
    <w:name w:val="xl288"/>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89">
    <w:name w:val="xl289"/>
    <w:basedOn w:val="Normal"/>
    <w:rsid w:val="009C66B0"/>
    <w:pPr>
      <w:pBdr>
        <w:top w:val="single" w:sz="4" w:space="0" w:color="auto"/>
        <w:bottom w:val="single" w:sz="4" w:space="0" w:color="auto"/>
      </w:pBdr>
      <w:spacing w:beforeAutospacing="1" w:after="100" w:afterAutospacing="1" w:line="240" w:lineRule="auto"/>
      <w:jc w:val="center"/>
    </w:pPr>
    <w:rPr>
      <w:rFonts w:ascii="Arial" w:eastAsia="Times New Roman" w:hAnsi="Arial" w:cs="Arial"/>
      <w:b/>
      <w:bCs/>
      <w:sz w:val="16"/>
      <w:szCs w:val="16"/>
    </w:rPr>
  </w:style>
  <w:style w:type="paragraph" w:customStyle="1" w:styleId="xl290">
    <w:name w:val="xl290"/>
    <w:basedOn w:val="Normal"/>
    <w:rsid w:val="009C66B0"/>
    <w:pPr>
      <w:pBdr>
        <w:top w:val="single" w:sz="4" w:space="0" w:color="auto"/>
      </w:pBdr>
      <w:spacing w:beforeAutospacing="1" w:after="100" w:afterAutospacing="1" w:line="240" w:lineRule="auto"/>
      <w:jc w:val="center"/>
    </w:pPr>
    <w:rPr>
      <w:rFonts w:ascii="Arial" w:eastAsia="Times New Roman" w:hAnsi="Arial" w:cs="Arial"/>
      <w:sz w:val="16"/>
      <w:szCs w:val="16"/>
    </w:rPr>
  </w:style>
  <w:style w:type="paragraph" w:customStyle="1" w:styleId="xl291">
    <w:name w:val="xl291"/>
    <w:basedOn w:val="Normal"/>
    <w:rsid w:val="009C66B0"/>
    <w:pPr>
      <w:pBdr>
        <w:top w:val="single" w:sz="4" w:space="0" w:color="auto"/>
        <w:right w:val="single" w:sz="4" w:space="0" w:color="auto"/>
      </w:pBdr>
      <w:spacing w:beforeAutospacing="1" w:after="100" w:afterAutospacing="1" w:line="240" w:lineRule="auto"/>
      <w:jc w:val="center"/>
    </w:pPr>
    <w:rPr>
      <w:rFonts w:ascii="Arial" w:eastAsia="Times New Roman" w:hAnsi="Arial" w:cs="Arial"/>
      <w:sz w:val="16"/>
      <w:szCs w:val="16"/>
    </w:rPr>
  </w:style>
  <w:style w:type="paragraph" w:customStyle="1" w:styleId="xl292">
    <w:name w:val="xl292"/>
    <w:basedOn w:val="Normal"/>
    <w:rsid w:val="009C66B0"/>
    <w:pPr>
      <w:pBdr>
        <w:bottom w:val="single" w:sz="4" w:space="0" w:color="auto"/>
        <w:right w:val="single" w:sz="4" w:space="0" w:color="auto"/>
      </w:pBdr>
      <w:spacing w:beforeAutospacing="1" w:after="100" w:afterAutospacing="1" w:line="240" w:lineRule="auto"/>
      <w:jc w:val="center"/>
    </w:pPr>
    <w:rPr>
      <w:rFonts w:ascii="Arial" w:eastAsia="Times New Roman" w:hAnsi="Arial" w:cs="Arial"/>
      <w:sz w:val="16"/>
      <w:szCs w:val="16"/>
    </w:rPr>
  </w:style>
  <w:style w:type="paragraph" w:customStyle="1" w:styleId="xl293">
    <w:name w:val="xl293"/>
    <w:basedOn w:val="Normal"/>
    <w:rsid w:val="009C66B0"/>
    <w:pPr>
      <w:pBdr>
        <w:top w:val="single" w:sz="4" w:space="0" w:color="auto"/>
        <w:left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294">
    <w:name w:val="xl294"/>
    <w:basedOn w:val="Normal"/>
    <w:rsid w:val="009C66B0"/>
    <w:pPr>
      <w:pBdr>
        <w:top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295">
    <w:name w:val="xl295"/>
    <w:basedOn w:val="Normal"/>
    <w:rsid w:val="009C66B0"/>
    <w:pPr>
      <w:pBdr>
        <w:top w:val="single" w:sz="4" w:space="0" w:color="auto"/>
        <w:left w:val="single" w:sz="4" w:space="0" w:color="auto"/>
        <w:bottom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rPr>
  </w:style>
  <w:style w:type="paragraph" w:customStyle="1" w:styleId="xl296">
    <w:name w:val="xl296"/>
    <w:basedOn w:val="Normal"/>
    <w:rsid w:val="009C66B0"/>
    <w:pPr>
      <w:pBdr>
        <w:top w:val="single" w:sz="4" w:space="0" w:color="auto"/>
        <w:bottom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rPr>
  </w:style>
  <w:style w:type="paragraph" w:customStyle="1" w:styleId="xl297">
    <w:name w:val="xl297"/>
    <w:basedOn w:val="Normal"/>
    <w:rsid w:val="009C66B0"/>
    <w:pPr>
      <w:pBdr>
        <w:top w:val="single" w:sz="4" w:space="0" w:color="auto"/>
        <w:bottom w:val="single" w:sz="4" w:space="0" w:color="auto"/>
        <w:right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rPr>
  </w:style>
  <w:style w:type="paragraph" w:customStyle="1" w:styleId="xl298">
    <w:name w:val="xl298"/>
    <w:basedOn w:val="Normal"/>
    <w:rsid w:val="009C66B0"/>
    <w:pPr>
      <w:pBdr>
        <w:top w:val="single" w:sz="4" w:space="0" w:color="auto"/>
        <w:bottom w:val="single" w:sz="4" w:space="0" w:color="auto"/>
        <w:right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299">
    <w:name w:val="xl299"/>
    <w:basedOn w:val="Normal"/>
    <w:rsid w:val="009C66B0"/>
    <w:pPr>
      <w:pBdr>
        <w:top w:val="single" w:sz="4" w:space="0" w:color="auto"/>
        <w:left w:val="single" w:sz="4" w:space="0" w:color="auto"/>
      </w:pBdr>
      <w:spacing w:beforeAutospacing="1" w:after="100" w:afterAutospacing="1" w:line="240" w:lineRule="auto"/>
      <w:jc w:val="center"/>
    </w:pPr>
    <w:rPr>
      <w:rFonts w:ascii="Times New Roman" w:eastAsia="Times New Roman" w:hAnsi="Times New Roman" w:cs="Times New Roman"/>
      <w:sz w:val="22"/>
      <w:szCs w:val="22"/>
    </w:rPr>
  </w:style>
  <w:style w:type="paragraph" w:customStyle="1" w:styleId="xl300">
    <w:name w:val="xl300"/>
    <w:basedOn w:val="Normal"/>
    <w:rsid w:val="009C66B0"/>
    <w:pPr>
      <w:pBdr>
        <w:left w:val="single" w:sz="4" w:space="0" w:color="auto"/>
        <w:bottom w:val="single" w:sz="4" w:space="0" w:color="auto"/>
      </w:pBdr>
      <w:spacing w:beforeAutospacing="1" w:after="100" w:afterAutospacing="1" w:line="240" w:lineRule="auto"/>
      <w:jc w:val="center"/>
    </w:pPr>
    <w:rPr>
      <w:rFonts w:ascii="Times New Roman" w:eastAsia="Times New Roman" w:hAnsi="Times New Roman" w:cs="Times New Roman"/>
      <w:sz w:val="22"/>
      <w:szCs w:val="22"/>
    </w:rPr>
  </w:style>
  <w:style w:type="paragraph" w:customStyle="1" w:styleId="xl301">
    <w:name w:val="xl301"/>
    <w:basedOn w:val="Normal"/>
    <w:rsid w:val="009C66B0"/>
    <w:pPr>
      <w:pBdr>
        <w:left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302">
    <w:name w:val="xl302"/>
    <w:basedOn w:val="Normal"/>
    <w:rsid w:val="009C66B0"/>
    <w:pPr>
      <w:pBdr>
        <w:bottom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303">
    <w:name w:val="xl303"/>
    <w:basedOn w:val="Normal"/>
    <w:rsid w:val="009C66B0"/>
    <w:pPr>
      <w:pBdr>
        <w:bottom w:val="single" w:sz="4" w:space="0" w:color="auto"/>
        <w:right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304">
    <w:name w:val="xl304"/>
    <w:basedOn w:val="Normal"/>
    <w:rsid w:val="009C66B0"/>
    <w:pPr>
      <w:pBdr>
        <w:top w:val="single" w:sz="4" w:space="0" w:color="auto"/>
        <w:left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305">
    <w:name w:val="xl305"/>
    <w:basedOn w:val="Normal"/>
    <w:rsid w:val="009C66B0"/>
    <w:pPr>
      <w:pBdr>
        <w:top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306">
    <w:name w:val="xl306"/>
    <w:basedOn w:val="Normal"/>
    <w:rsid w:val="009C66B0"/>
    <w:pPr>
      <w:pBdr>
        <w:top w:val="single" w:sz="4" w:space="0" w:color="auto"/>
        <w:right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229">
    <w:name w:val="xl229"/>
    <w:basedOn w:val="Normal"/>
    <w:rsid w:val="009C66B0"/>
    <w:pPr>
      <w:spacing w:beforeAutospacing="1" w:after="100" w:afterAutospacing="1" w:line="240" w:lineRule="auto"/>
    </w:pPr>
    <w:rPr>
      <w:rFonts w:ascii="Arial" w:eastAsia="Times New Roman" w:hAnsi="Arial" w:cs="Arial"/>
      <w:sz w:val="24"/>
      <w:szCs w:val="24"/>
    </w:rPr>
  </w:style>
  <w:style w:type="paragraph" w:customStyle="1" w:styleId="xl230">
    <w:name w:val="xl230"/>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31">
    <w:name w:val="xl231"/>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32">
    <w:name w:val="xl232"/>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33">
    <w:name w:val="xl233"/>
    <w:basedOn w:val="Normal"/>
    <w:rsid w:val="009C66B0"/>
    <w:pPr>
      <w:pBdr>
        <w:top w:val="single" w:sz="4" w:space="0" w:color="auto"/>
        <w:left w:val="single" w:sz="4" w:space="0" w:color="auto"/>
      </w:pBdr>
      <w:spacing w:beforeAutospacing="1" w:after="100" w:afterAutospacing="1" w:line="240" w:lineRule="auto"/>
      <w:textAlignment w:val="center"/>
    </w:pPr>
    <w:rPr>
      <w:rFonts w:ascii="Arial" w:eastAsia="Times New Roman" w:hAnsi="Arial" w:cs="Arial"/>
      <w:sz w:val="16"/>
      <w:szCs w:val="16"/>
    </w:rPr>
  </w:style>
  <w:style w:type="paragraph" w:customStyle="1" w:styleId="xl234">
    <w:name w:val="xl234"/>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sz w:val="16"/>
      <w:szCs w:val="16"/>
    </w:rPr>
  </w:style>
  <w:style w:type="paragraph" w:customStyle="1" w:styleId="xl235">
    <w:name w:val="xl235"/>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36">
    <w:name w:val="xl236"/>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37">
    <w:name w:val="xl237"/>
    <w:basedOn w:val="Normal"/>
    <w:rsid w:val="009C66B0"/>
    <w:pPr>
      <w:pBdr>
        <w:bottom w:val="single" w:sz="4" w:space="0" w:color="auto"/>
      </w:pBdr>
      <w:spacing w:beforeAutospacing="1" w:after="100" w:afterAutospacing="1" w:line="240" w:lineRule="auto"/>
      <w:jc w:val="center"/>
    </w:pPr>
    <w:rPr>
      <w:rFonts w:ascii="Arial" w:eastAsia="Times New Roman" w:hAnsi="Arial" w:cs="Arial"/>
      <w:sz w:val="16"/>
      <w:szCs w:val="16"/>
    </w:rPr>
  </w:style>
  <w:style w:type="paragraph" w:customStyle="1" w:styleId="xl238">
    <w:name w:val="xl238"/>
    <w:basedOn w:val="Normal"/>
    <w:rsid w:val="009C66B0"/>
    <w:pPr>
      <w:spacing w:beforeAutospacing="1" w:after="100" w:afterAutospacing="1" w:line="240" w:lineRule="auto"/>
      <w:jc w:val="center"/>
    </w:pPr>
    <w:rPr>
      <w:rFonts w:ascii="Arial" w:eastAsia="Times New Roman" w:hAnsi="Arial" w:cs="Arial"/>
      <w:sz w:val="16"/>
      <w:szCs w:val="16"/>
    </w:rPr>
  </w:style>
  <w:style w:type="paragraph" w:customStyle="1" w:styleId="xl239">
    <w:name w:val="xl239"/>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sz w:val="16"/>
      <w:szCs w:val="16"/>
    </w:rPr>
  </w:style>
  <w:style w:type="paragraph" w:customStyle="1" w:styleId="xl240">
    <w:name w:val="xl240"/>
    <w:basedOn w:val="Normal"/>
    <w:rsid w:val="009C66B0"/>
    <w:pPr>
      <w:pBdr>
        <w:top w:val="single" w:sz="4" w:space="0"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41">
    <w:name w:val="xl241"/>
    <w:basedOn w:val="Normal"/>
    <w:rsid w:val="009C66B0"/>
    <w:pPr>
      <w:pBdr>
        <w:top w:val="single" w:sz="4" w:space="0"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42">
    <w:name w:val="xl242"/>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43">
    <w:name w:val="xl243"/>
    <w:basedOn w:val="Normal"/>
    <w:rsid w:val="009C66B0"/>
    <w:pPr>
      <w:pBdr>
        <w:top w:val="single" w:sz="4" w:space="0" w:color="auto"/>
        <w:bottom w:val="single" w:sz="4" w:space="0" w:color="auto"/>
      </w:pBdr>
      <w:spacing w:beforeAutospacing="1" w:after="100" w:afterAutospacing="1" w:line="240" w:lineRule="auto"/>
      <w:jc w:val="center"/>
    </w:pPr>
    <w:rPr>
      <w:rFonts w:ascii="Arial" w:eastAsia="Times New Roman" w:hAnsi="Arial" w:cs="Arial"/>
      <w:sz w:val="16"/>
      <w:szCs w:val="16"/>
    </w:rPr>
  </w:style>
  <w:style w:type="paragraph" w:customStyle="1" w:styleId="xl244">
    <w:name w:val="xl244"/>
    <w:basedOn w:val="Normal"/>
    <w:rsid w:val="009C66B0"/>
    <w:pPr>
      <w:spacing w:beforeAutospacing="1" w:after="100" w:afterAutospacing="1" w:line="240" w:lineRule="auto"/>
      <w:jc w:val="center"/>
    </w:pPr>
    <w:rPr>
      <w:rFonts w:ascii="Arial" w:eastAsia="Times New Roman" w:hAnsi="Arial" w:cs="Arial"/>
      <w:sz w:val="16"/>
      <w:szCs w:val="16"/>
    </w:rPr>
  </w:style>
  <w:style w:type="paragraph" w:customStyle="1" w:styleId="xl245">
    <w:name w:val="xl245"/>
    <w:basedOn w:val="Normal"/>
    <w:rsid w:val="009C66B0"/>
    <w:pPr>
      <w:pBdr>
        <w:left w:val="single" w:sz="4" w:space="9" w:color="auto"/>
      </w:pBdr>
      <w:spacing w:beforeAutospacing="1" w:after="100" w:afterAutospacing="1" w:line="240" w:lineRule="auto"/>
      <w:ind w:firstLineChars="100" w:firstLine="100"/>
      <w:textAlignment w:val="center"/>
    </w:pPr>
    <w:rPr>
      <w:rFonts w:ascii="Arial" w:eastAsia="Times New Roman" w:hAnsi="Arial" w:cs="Arial"/>
      <w:color w:val="000000"/>
      <w:sz w:val="16"/>
      <w:szCs w:val="16"/>
    </w:rPr>
  </w:style>
  <w:style w:type="paragraph" w:customStyle="1" w:styleId="xl246">
    <w:name w:val="xl246"/>
    <w:basedOn w:val="Normal"/>
    <w:rsid w:val="009C66B0"/>
    <w:pPr>
      <w:pBdr>
        <w:left w:val="single" w:sz="4" w:space="0" w:color="auto"/>
      </w:pBdr>
      <w:spacing w:beforeAutospacing="1" w:after="100" w:afterAutospacing="1" w:line="240" w:lineRule="auto"/>
      <w:textAlignment w:val="center"/>
    </w:pPr>
    <w:rPr>
      <w:rFonts w:ascii="Arial" w:eastAsia="Times New Roman" w:hAnsi="Arial" w:cs="Arial"/>
      <w:b/>
      <w:bCs/>
      <w:color w:val="000000"/>
      <w:sz w:val="16"/>
      <w:szCs w:val="16"/>
    </w:rPr>
  </w:style>
  <w:style w:type="paragraph" w:customStyle="1" w:styleId="xl247">
    <w:name w:val="xl247"/>
    <w:basedOn w:val="Normal"/>
    <w:rsid w:val="009C66B0"/>
    <w:pPr>
      <w:pBdr>
        <w:left w:val="single" w:sz="4" w:space="9" w:color="auto"/>
        <w:bottom w:val="single" w:sz="4" w:space="0" w:color="auto"/>
      </w:pBdr>
      <w:spacing w:beforeAutospacing="1" w:after="100" w:afterAutospacing="1" w:line="240" w:lineRule="auto"/>
      <w:ind w:firstLineChars="100" w:firstLine="100"/>
      <w:textAlignment w:val="center"/>
    </w:pPr>
    <w:rPr>
      <w:rFonts w:ascii="Arial" w:eastAsia="Times New Roman" w:hAnsi="Arial" w:cs="Arial"/>
      <w:color w:val="000000"/>
      <w:sz w:val="16"/>
      <w:szCs w:val="16"/>
    </w:rPr>
  </w:style>
  <w:style w:type="paragraph" w:customStyle="1" w:styleId="xl248">
    <w:name w:val="xl248"/>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b/>
      <w:bCs/>
      <w:sz w:val="16"/>
      <w:szCs w:val="16"/>
    </w:rPr>
  </w:style>
  <w:style w:type="paragraph" w:customStyle="1" w:styleId="xl249">
    <w:name w:val="xl249"/>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50">
    <w:name w:val="xl250"/>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51">
    <w:name w:val="xl251"/>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b/>
      <w:bCs/>
      <w:sz w:val="16"/>
      <w:szCs w:val="16"/>
    </w:rPr>
  </w:style>
  <w:style w:type="paragraph" w:customStyle="1" w:styleId="xl252">
    <w:name w:val="xl252"/>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53">
    <w:name w:val="xl253"/>
    <w:basedOn w:val="Normal"/>
    <w:rsid w:val="009C66B0"/>
    <w:pP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54">
    <w:name w:val="xl254"/>
    <w:basedOn w:val="Normal"/>
    <w:rsid w:val="009C66B0"/>
    <w:pPr>
      <w:pBdr>
        <w:top w:val="single" w:sz="4" w:space="0"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xl255">
    <w:name w:val="xl255"/>
    <w:basedOn w:val="Normal"/>
    <w:rsid w:val="009C66B0"/>
    <w:pPr>
      <w:pBdr>
        <w:top w:val="single" w:sz="4" w:space="0" w:color="auto"/>
        <w:right w:val="single" w:sz="4" w:space="9" w:color="auto"/>
      </w:pBdr>
      <w:spacing w:beforeAutospacing="1" w:after="100" w:afterAutospacing="1" w:line="240" w:lineRule="auto"/>
      <w:ind w:firstLineChars="100" w:firstLine="100"/>
      <w:jc w:val="right"/>
      <w:textAlignment w:val="center"/>
    </w:pPr>
    <w:rPr>
      <w:rFonts w:ascii="Arial" w:eastAsia="Times New Roman" w:hAnsi="Arial" w:cs="Arial"/>
      <w:sz w:val="16"/>
      <w:szCs w:val="16"/>
    </w:rPr>
  </w:style>
  <w:style w:type="paragraph" w:customStyle="1" w:styleId="font5">
    <w:name w:val="font5"/>
    <w:basedOn w:val="Normal"/>
    <w:rsid w:val="00015CF0"/>
    <w:pPr>
      <w:spacing w:beforeAutospacing="1" w:after="100" w:afterAutospacing="1" w:line="240" w:lineRule="auto"/>
    </w:pPr>
    <w:rPr>
      <w:rFonts w:ascii="Arial" w:eastAsia="Times New Roman" w:hAnsi="Arial" w:cs="Arial"/>
      <w:sz w:val="16"/>
      <w:szCs w:val="16"/>
      <w:lang w:val="en-GB" w:eastAsia="en-GB"/>
    </w:rPr>
  </w:style>
  <w:style w:type="paragraph" w:customStyle="1" w:styleId="font6">
    <w:name w:val="font6"/>
    <w:basedOn w:val="Normal"/>
    <w:rsid w:val="00015CF0"/>
    <w:pPr>
      <w:spacing w:beforeAutospacing="1" w:after="100" w:afterAutospacing="1" w:line="240" w:lineRule="auto"/>
    </w:pPr>
    <w:rPr>
      <w:rFonts w:ascii="Arial" w:eastAsia="Times New Roman" w:hAnsi="Arial" w:cs="Arial"/>
      <w:sz w:val="16"/>
      <w:szCs w:val="16"/>
      <w:lang w:val="en-GB" w:eastAsia="en-GB"/>
    </w:rPr>
  </w:style>
  <w:style w:type="paragraph" w:customStyle="1" w:styleId="font7">
    <w:name w:val="font7"/>
    <w:basedOn w:val="Normal"/>
    <w:rsid w:val="00015CF0"/>
    <w:pPr>
      <w:spacing w:beforeAutospacing="1" w:after="100" w:afterAutospacing="1" w:line="240" w:lineRule="auto"/>
    </w:pPr>
    <w:rPr>
      <w:rFonts w:ascii="Arial" w:eastAsia="Times New Roman" w:hAnsi="Arial" w:cs="Arial"/>
      <w:b/>
      <w:bCs/>
      <w:sz w:val="16"/>
      <w:szCs w:val="16"/>
      <w:lang w:val="en-GB" w:eastAsia="en-GB"/>
    </w:rPr>
  </w:style>
  <w:style w:type="paragraph" w:customStyle="1" w:styleId="font8">
    <w:name w:val="font8"/>
    <w:basedOn w:val="Normal"/>
    <w:rsid w:val="00015CF0"/>
    <w:pPr>
      <w:spacing w:beforeAutospacing="1" w:after="100" w:afterAutospacing="1" w:line="240" w:lineRule="auto"/>
    </w:pPr>
    <w:rPr>
      <w:rFonts w:ascii="Arial" w:eastAsia="Times New Roman" w:hAnsi="Arial" w:cs="Arial"/>
      <w:b/>
      <w:bCs/>
      <w:sz w:val="16"/>
      <w:szCs w:val="16"/>
      <w:lang w:val="en-GB" w:eastAsia="en-GB"/>
    </w:rPr>
  </w:style>
  <w:style w:type="paragraph" w:customStyle="1" w:styleId="font9">
    <w:name w:val="font9"/>
    <w:basedOn w:val="Normal"/>
    <w:rsid w:val="00015CF0"/>
    <w:pPr>
      <w:spacing w:beforeAutospacing="1" w:after="100" w:afterAutospacing="1" w:line="240" w:lineRule="auto"/>
    </w:pPr>
    <w:rPr>
      <w:rFonts w:ascii="Arial" w:eastAsia="Times New Roman" w:hAnsi="Arial" w:cs="Arial"/>
      <w:color w:val="FF0000"/>
      <w:sz w:val="16"/>
      <w:szCs w:val="16"/>
      <w:lang w:val="en-GB" w:eastAsia="en-GB"/>
    </w:rPr>
  </w:style>
  <w:style w:type="paragraph" w:customStyle="1" w:styleId="xl91">
    <w:name w:val="xl91"/>
    <w:basedOn w:val="Normal"/>
    <w:rsid w:val="00015CF0"/>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92">
    <w:name w:val="xl92"/>
    <w:basedOn w:val="Normal"/>
    <w:rsid w:val="00015CF0"/>
    <w:pPr>
      <w:pBdr>
        <w:left w:val="single" w:sz="4" w:space="0" w:color="auto"/>
      </w:pBdr>
      <w:spacing w:beforeAutospacing="1" w:after="100" w:afterAutospacing="1" w:line="240" w:lineRule="auto"/>
      <w:textAlignment w:val="center"/>
    </w:pPr>
    <w:rPr>
      <w:rFonts w:ascii="Arial" w:eastAsia="Times New Roman" w:hAnsi="Arial" w:cs="Arial"/>
      <w:b/>
      <w:bCs/>
      <w:sz w:val="16"/>
      <w:szCs w:val="16"/>
      <w:lang w:val="en-GB" w:eastAsia="en-GB"/>
    </w:rPr>
  </w:style>
  <w:style w:type="paragraph" w:customStyle="1" w:styleId="xl93">
    <w:name w:val="xl93"/>
    <w:basedOn w:val="Normal"/>
    <w:rsid w:val="00015CF0"/>
    <w:pP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94">
    <w:name w:val="xl94"/>
    <w:basedOn w:val="Normal"/>
    <w:rsid w:val="00015CF0"/>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95">
    <w:name w:val="xl95"/>
    <w:basedOn w:val="Normal"/>
    <w:rsid w:val="00015CF0"/>
    <w:pPr>
      <w:spacing w:beforeAutospacing="1" w:after="100" w:afterAutospacing="1" w:line="240" w:lineRule="auto"/>
    </w:pPr>
    <w:rPr>
      <w:rFonts w:ascii="Arial" w:eastAsia="Times New Roman" w:hAnsi="Arial" w:cs="Arial"/>
      <w:sz w:val="16"/>
      <w:szCs w:val="16"/>
      <w:lang w:val="en-GB" w:eastAsia="en-GB"/>
    </w:rPr>
  </w:style>
  <w:style w:type="paragraph" w:customStyle="1" w:styleId="xl96">
    <w:name w:val="xl96"/>
    <w:basedOn w:val="Normal"/>
    <w:rsid w:val="00015CF0"/>
    <w:pPr>
      <w:pBdr>
        <w:top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97">
    <w:name w:val="xl97"/>
    <w:basedOn w:val="Normal"/>
    <w:rsid w:val="00015CF0"/>
    <w:pP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98">
    <w:name w:val="xl98"/>
    <w:basedOn w:val="Normal"/>
    <w:rsid w:val="00015CF0"/>
    <w:pPr>
      <w:spacing w:beforeAutospacing="1" w:after="100" w:afterAutospacing="1" w:line="240" w:lineRule="auto"/>
      <w:jc w:val="center"/>
    </w:pPr>
    <w:rPr>
      <w:rFonts w:ascii="Arial" w:eastAsia="Times New Roman" w:hAnsi="Arial" w:cs="Arial"/>
      <w:color w:val="FF0000"/>
      <w:sz w:val="16"/>
      <w:szCs w:val="16"/>
      <w:lang w:val="en-GB" w:eastAsia="en-GB"/>
    </w:rPr>
  </w:style>
  <w:style w:type="paragraph" w:customStyle="1" w:styleId="xl99">
    <w:name w:val="xl99"/>
    <w:basedOn w:val="Normal"/>
    <w:rsid w:val="00015CF0"/>
    <w:pPr>
      <w:pBdr>
        <w:bottom w:val="single" w:sz="4" w:space="0" w:color="auto"/>
      </w:pBdr>
      <w:spacing w:beforeAutospacing="1" w:after="100" w:afterAutospacing="1" w:line="240" w:lineRule="auto"/>
      <w:jc w:val="center"/>
    </w:pPr>
    <w:rPr>
      <w:rFonts w:ascii="Arial" w:eastAsia="Times New Roman" w:hAnsi="Arial" w:cs="Arial"/>
      <w:color w:val="FF0000"/>
      <w:sz w:val="16"/>
      <w:szCs w:val="16"/>
      <w:lang w:val="en-GB" w:eastAsia="en-GB"/>
    </w:rPr>
  </w:style>
  <w:style w:type="paragraph" w:customStyle="1" w:styleId="xl100">
    <w:name w:val="xl100"/>
    <w:basedOn w:val="Normal"/>
    <w:rsid w:val="00015CF0"/>
    <w:pPr>
      <w:pBdr>
        <w:left w:val="single" w:sz="4" w:space="11" w:color="auto"/>
      </w:pBdr>
      <w:spacing w:beforeAutospacing="1" w:after="100" w:afterAutospacing="1" w:line="240" w:lineRule="auto"/>
      <w:ind w:firstLineChars="100" w:firstLine="100"/>
      <w:textAlignment w:val="center"/>
    </w:pPr>
    <w:rPr>
      <w:rFonts w:ascii="Arial" w:eastAsia="Times New Roman" w:hAnsi="Arial" w:cs="Arial"/>
      <w:sz w:val="16"/>
      <w:szCs w:val="16"/>
      <w:lang w:val="en-GB" w:eastAsia="en-GB"/>
    </w:rPr>
  </w:style>
  <w:style w:type="paragraph" w:customStyle="1" w:styleId="xl101">
    <w:name w:val="xl101"/>
    <w:basedOn w:val="Normal"/>
    <w:rsid w:val="00015CF0"/>
    <w:pPr>
      <w:pBdr>
        <w:left w:val="single" w:sz="4" w:space="11" w:color="auto"/>
      </w:pBdr>
      <w:spacing w:beforeAutospacing="1" w:after="100" w:afterAutospacing="1" w:line="240" w:lineRule="auto"/>
      <w:ind w:firstLineChars="100" w:firstLine="100"/>
      <w:textAlignment w:val="center"/>
    </w:pPr>
    <w:rPr>
      <w:rFonts w:ascii="Arial" w:eastAsia="Times New Roman" w:hAnsi="Arial" w:cs="Arial"/>
      <w:sz w:val="16"/>
      <w:szCs w:val="16"/>
      <w:lang w:val="en-GB" w:eastAsia="en-GB"/>
    </w:rPr>
  </w:style>
  <w:style w:type="paragraph" w:customStyle="1" w:styleId="xl102">
    <w:name w:val="xl102"/>
    <w:basedOn w:val="Normal"/>
    <w:rsid w:val="00015CF0"/>
    <w:pPr>
      <w:pBdr>
        <w:bottom w:val="single" w:sz="4" w:space="0" w:color="auto"/>
      </w:pBdr>
      <w:spacing w:beforeAutospacing="1" w:after="100" w:afterAutospacing="1" w:line="240" w:lineRule="auto"/>
    </w:pPr>
    <w:rPr>
      <w:rFonts w:ascii="Arial" w:eastAsia="Times New Roman" w:hAnsi="Arial" w:cs="Arial"/>
      <w:sz w:val="16"/>
      <w:szCs w:val="16"/>
      <w:lang w:val="en-GB" w:eastAsia="en-GB"/>
    </w:rPr>
  </w:style>
  <w:style w:type="paragraph" w:customStyle="1" w:styleId="xl103">
    <w:name w:val="xl103"/>
    <w:basedOn w:val="Normal"/>
    <w:rsid w:val="00015CF0"/>
    <w:pPr>
      <w:spacing w:beforeAutospacing="1" w:after="100" w:afterAutospacing="1" w:line="240" w:lineRule="auto"/>
    </w:pPr>
    <w:rPr>
      <w:rFonts w:ascii="Arial" w:eastAsia="Times New Roman" w:hAnsi="Arial" w:cs="Arial"/>
      <w:b/>
      <w:bCs/>
      <w:sz w:val="16"/>
      <w:szCs w:val="16"/>
      <w:lang w:val="en-GB" w:eastAsia="en-GB"/>
    </w:rPr>
  </w:style>
  <w:style w:type="paragraph" w:customStyle="1" w:styleId="xl104">
    <w:name w:val="xl104"/>
    <w:basedOn w:val="Normal"/>
    <w:rsid w:val="00015CF0"/>
    <w:pPr>
      <w:pBdr>
        <w:lef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05">
    <w:name w:val="xl105"/>
    <w:basedOn w:val="Normal"/>
    <w:rsid w:val="00015CF0"/>
    <w:pPr>
      <w:pBdr>
        <w:lef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06">
    <w:name w:val="xl106"/>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07">
    <w:name w:val="xl107"/>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b/>
      <w:bCs/>
      <w:sz w:val="16"/>
      <w:szCs w:val="16"/>
      <w:lang w:val="en-GB" w:eastAsia="en-GB"/>
    </w:rPr>
  </w:style>
  <w:style w:type="paragraph" w:customStyle="1" w:styleId="xl108">
    <w:name w:val="xl108"/>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b/>
      <w:bCs/>
      <w:sz w:val="16"/>
      <w:szCs w:val="16"/>
      <w:lang w:val="en-GB" w:eastAsia="en-GB"/>
    </w:rPr>
  </w:style>
  <w:style w:type="paragraph" w:customStyle="1" w:styleId="xl109">
    <w:name w:val="xl109"/>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0">
    <w:name w:val="xl110"/>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1">
    <w:name w:val="xl111"/>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2">
    <w:name w:val="xl112"/>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3">
    <w:name w:val="xl113"/>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4">
    <w:name w:val="xl114"/>
    <w:basedOn w:val="Normal"/>
    <w:rsid w:val="00015CF0"/>
    <w:pPr>
      <w:pBdr>
        <w:right w:val="single" w:sz="4" w:space="11" w:color="auto"/>
      </w:pBd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5">
    <w:name w:val="xl115"/>
    <w:basedOn w:val="Normal"/>
    <w:rsid w:val="00015CF0"/>
    <w:pPr>
      <w:pBdr>
        <w:right w:val="single" w:sz="4" w:space="11" w:color="auto"/>
      </w:pBdr>
      <w:spacing w:beforeAutospacing="1" w:after="100" w:afterAutospacing="1" w:line="240" w:lineRule="auto"/>
      <w:ind w:firstLineChars="100" w:firstLine="100"/>
      <w:jc w:val="right"/>
      <w:textAlignment w:val="center"/>
    </w:pPr>
    <w:rPr>
      <w:rFonts w:ascii="Arial" w:eastAsia="Times New Roman" w:hAnsi="Arial" w:cs="Arial"/>
      <w:b/>
      <w:bCs/>
      <w:sz w:val="16"/>
      <w:szCs w:val="16"/>
      <w:lang w:val="en-GB" w:eastAsia="en-GB"/>
    </w:rPr>
  </w:style>
  <w:style w:type="paragraph" w:customStyle="1" w:styleId="xl116">
    <w:name w:val="xl116"/>
    <w:basedOn w:val="Normal"/>
    <w:rsid w:val="00015CF0"/>
    <w:pPr>
      <w:pBdr>
        <w:right w:val="single" w:sz="4" w:space="11" w:color="auto"/>
      </w:pBd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7">
    <w:name w:val="xl117"/>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sz w:val="16"/>
      <w:szCs w:val="16"/>
      <w:lang w:val="en-GB" w:eastAsia="en-GB"/>
    </w:rPr>
  </w:style>
  <w:style w:type="paragraph" w:customStyle="1" w:styleId="xl118">
    <w:name w:val="xl118"/>
    <w:basedOn w:val="Normal"/>
    <w:rsid w:val="00015CF0"/>
    <w:pPr>
      <w:spacing w:beforeAutospacing="1" w:after="100" w:afterAutospacing="1" w:line="240" w:lineRule="auto"/>
      <w:ind w:firstLineChars="100" w:firstLine="100"/>
      <w:jc w:val="right"/>
      <w:textAlignment w:val="center"/>
    </w:pPr>
    <w:rPr>
      <w:rFonts w:ascii="Arial" w:eastAsia="Times New Roman" w:hAnsi="Arial" w:cs="Arial"/>
      <w:b/>
      <w:bCs/>
      <w:sz w:val="16"/>
      <w:szCs w:val="16"/>
      <w:lang w:val="en-GB" w:eastAsia="en-GB"/>
    </w:rPr>
  </w:style>
  <w:style w:type="paragraph" w:customStyle="1" w:styleId="xl119">
    <w:name w:val="xl119"/>
    <w:basedOn w:val="Normal"/>
    <w:rsid w:val="00015CF0"/>
    <w:pPr>
      <w:pBdr>
        <w:lef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20">
    <w:name w:val="xl120"/>
    <w:basedOn w:val="Normal"/>
    <w:rsid w:val="00015CF0"/>
    <w:pP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21">
    <w:name w:val="xl121"/>
    <w:basedOn w:val="Normal"/>
    <w:rsid w:val="00015CF0"/>
    <w:pPr>
      <w:pBdr>
        <w:righ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22">
    <w:name w:val="xl122"/>
    <w:basedOn w:val="Normal"/>
    <w:rsid w:val="00015CF0"/>
    <w:pPr>
      <w:pBdr>
        <w:lef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23">
    <w:name w:val="xl123"/>
    <w:basedOn w:val="Normal"/>
    <w:rsid w:val="00015CF0"/>
    <w:pPr>
      <w:pBdr>
        <w:top w:val="single" w:sz="4" w:space="0" w:color="auto"/>
        <w:left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lang w:val="en-GB" w:eastAsia="en-GB"/>
    </w:rPr>
  </w:style>
  <w:style w:type="paragraph" w:customStyle="1" w:styleId="xl124">
    <w:name w:val="xl124"/>
    <w:basedOn w:val="Normal"/>
    <w:rsid w:val="00015CF0"/>
    <w:pPr>
      <w:pBdr>
        <w:top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lang w:val="en-GB" w:eastAsia="en-GB"/>
    </w:rPr>
  </w:style>
  <w:style w:type="paragraph" w:customStyle="1" w:styleId="xl125">
    <w:name w:val="xl125"/>
    <w:basedOn w:val="Normal"/>
    <w:rsid w:val="00015CF0"/>
    <w:pPr>
      <w:pBdr>
        <w:top w:val="single" w:sz="4" w:space="0" w:color="auto"/>
        <w:right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lang w:val="en-GB" w:eastAsia="en-GB"/>
    </w:rPr>
  </w:style>
  <w:style w:type="paragraph" w:customStyle="1" w:styleId="xl126">
    <w:name w:val="xl126"/>
    <w:basedOn w:val="Normal"/>
    <w:rsid w:val="00015CF0"/>
    <w:pPr>
      <w:pBdr>
        <w:left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27">
    <w:name w:val="xl127"/>
    <w:basedOn w:val="Normal"/>
    <w:rsid w:val="00015CF0"/>
    <w:pPr>
      <w:pBdr>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28">
    <w:name w:val="xl128"/>
    <w:basedOn w:val="Normal"/>
    <w:rsid w:val="00015CF0"/>
    <w:pPr>
      <w:pBdr>
        <w:bottom w:val="single" w:sz="4" w:space="0" w:color="auto"/>
        <w:righ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29">
    <w:name w:val="xl129"/>
    <w:basedOn w:val="Normal"/>
    <w:rsid w:val="00015CF0"/>
    <w:pPr>
      <w:pBdr>
        <w:top w:val="single" w:sz="4" w:space="0" w:color="auto"/>
        <w:left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30">
    <w:name w:val="xl130"/>
    <w:basedOn w:val="Normal"/>
    <w:rsid w:val="00015CF0"/>
    <w:pPr>
      <w:pBdr>
        <w:left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31">
    <w:name w:val="xl131"/>
    <w:basedOn w:val="Normal"/>
    <w:rsid w:val="00015CF0"/>
    <w:pPr>
      <w:pBdr>
        <w:left w:val="single" w:sz="4" w:space="0" w:color="auto"/>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32">
    <w:name w:val="xl132"/>
    <w:basedOn w:val="Normal"/>
    <w:rsid w:val="00015CF0"/>
    <w:pPr>
      <w:pBdr>
        <w:top w:val="single" w:sz="4" w:space="0" w:color="auto"/>
        <w:bottom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133">
    <w:name w:val="xl133"/>
    <w:basedOn w:val="Normal"/>
    <w:rsid w:val="00015CF0"/>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34">
    <w:name w:val="xl134"/>
    <w:basedOn w:val="Normal"/>
    <w:rsid w:val="00015CF0"/>
    <w:pPr>
      <w:pBdr>
        <w:top w:val="single" w:sz="4" w:space="0" w:color="auto"/>
        <w:right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35">
    <w:name w:val="xl135"/>
    <w:basedOn w:val="Normal"/>
    <w:rsid w:val="00015CF0"/>
    <w:pPr>
      <w:pBdr>
        <w:right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36">
    <w:name w:val="xl136"/>
    <w:basedOn w:val="Normal"/>
    <w:rsid w:val="00015CF0"/>
    <w:pPr>
      <w:pBdr>
        <w:bottom w:val="single" w:sz="4" w:space="0" w:color="auto"/>
        <w:right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37">
    <w:name w:val="xl137"/>
    <w:basedOn w:val="Normal"/>
    <w:rsid w:val="00015CF0"/>
    <w:pPr>
      <w:pBdr>
        <w:bottom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138">
    <w:name w:val="xl138"/>
    <w:basedOn w:val="Normal"/>
    <w:rsid w:val="00015CF0"/>
    <w:pPr>
      <w:pBdr>
        <w:left w:val="single" w:sz="4" w:space="0" w:color="auto"/>
      </w:pBdr>
      <w:spacing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139">
    <w:name w:val="xl139"/>
    <w:basedOn w:val="Normal"/>
    <w:rsid w:val="00015CF0"/>
    <w:pPr>
      <w:spacing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140">
    <w:name w:val="xl140"/>
    <w:basedOn w:val="Normal"/>
    <w:rsid w:val="00015CF0"/>
    <w:pPr>
      <w:pBdr>
        <w:right w:val="single" w:sz="4" w:space="0" w:color="auto"/>
      </w:pBdr>
      <w:spacing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141">
    <w:name w:val="xl141"/>
    <w:basedOn w:val="Normal"/>
    <w:rsid w:val="00015CF0"/>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42">
    <w:name w:val="xl142"/>
    <w:basedOn w:val="Normal"/>
    <w:rsid w:val="00015CF0"/>
    <w:pPr>
      <w:pBdr>
        <w:top w:val="single" w:sz="4" w:space="0" w:color="auto"/>
        <w:left w:val="single" w:sz="4" w:space="0" w:color="auto"/>
      </w:pBdr>
      <w:spacing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143">
    <w:name w:val="xl143"/>
    <w:basedOn w:val="Normal"/>
    <w:rsid w:val="00015CF0"/>
    <w:pPr>
      <w:pBdr>
        <w:top w:val="single" w:sz="4" w:space="0" w:color="auto"/>
      </w:pBdr>
      <w:spacing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144">
    <w:name w:val="xl144"/>
    <w:basedOn w:val="Normal"/>
    <w:rsid w:val="00015CF0"/>
    <w:pPr>
      <w:pBdr>
        <w:top w:val="single" w:sz="4" w:space="0" w:color="auto"/>
        <w:right w:val="single" w:sz="4" w:space="0" w:color="auto"/>
      </w:pBdr>
      <w:spacing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145">
    <w:name w:val="xl145"/>
    <w:basedOn w:val="Normal"/>
    <w:rsid w:val="00015CF0"/>
    <w:pP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46">
    <w:name w:val="xl146"/>
    <w:basedOn w:val="Normal"/>
    <w:rsid w:val="00015CF0"/>
    <w:pPr>
      <w:pBdr>
        <w:righ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47">
    <w:name w:val="xl147"/>
    <w:basedOn w:val="Normal"/>
    <w:rsid w:val="00015CF0"/>
    <w:pPr>
      <w:pBdr>
        <w:left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48">
    <w:name w:val="xl148"/>
    <w:basedOn w:val="Normal"/>
    <w:rsid w:val="00015CF0"/>
    <w:pPr>
      <w:pBdr>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49">
    <w:name w:val="xl149"/>
    <w:basedOn w:val="Normal"/>
    <w:rsid w:val="00015CF0"/>
    <w:pPr>
      <w:pBdr>
        <w:bottom w:val="single" w:sz="4" w:space="0" w:color="auto"/>
        <w:righ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character" w:customStyle="1" w:styleId="moduletitlelink">
    <w:name w:val="module__title__link"/>
    <w:basedOn w:val="DefaultParagraphFont"/>
    <w:rsid w:val="00352191"/>
  </w:style>
  <w:style w:type="character" w:customStyle="1" w:styleId="js-about-item-abstr">
    <w:name w:val="js-about-item-abstr"/>
    <w:basedOn w:val="DefaultParagraphFont"/>
    <w:rsid w:val="00352191"/>
  </w:style>
  <w:style w:type="paragraph" w:customStyle="1" w:styleId="xl150">
    <w:name w:val="xl150"/>
    <w:basedOn w:val="Normal"/>
    <w:rsid w:val="00090DC9"/>
    <w:pPr>
      <w:pBdr>
        <w:righ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51">
    <w:name w:val="xl151"/>
    <w:basedOn w:val="Normal"/>
    <w:rsid w:val="00090DC9"/>
    <w:pPr>
      <w:pBdr>
        <w:top w:val="single" w:sz="4" w:space="0" w:color="auto"/>
        <w:left w:val="single" w:sz="4" w:space="0" w:color="auto"/>
        <w:bottom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lang w:val="en-GB" w:eastAsia="en-GB"/>
    </w:rPr>
  </w:style>
  <w:style w:type="paragraph" w:customStyle="1" w:styleId="xl152">
    <w:name w:val="xl152"/>
    <w:basedOn w:val="Normal"/>
    <w:rsid w:val="00090DC9"/>
    <w:pPr>
      <w:pBdr>
        <w:top w:val="single" w:sz="4" w:space="0" w:color="auto"/>
        <w:bottom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lang w:val="en-GB" w:eastAsia="en-GB"/>
    </w:rPr>
  </w:style>
  <w:style w:type="paragraph" w:customStyle="1" w:styleId="xl153">
    <w:name w:val="xl153"/>
    <w:basedOn w:val="Normal"/>
    <w:rsid w:val="00090DC9"/>
    <w:pPr>
      <w:pBdr>
        <w:top w:val="single" w:sz="4" w:space="0" w:color="auto"/>
        <w:bottom w:val="single" w:sz="4" w:space="0" w:color="auto"/>
        <w:right w:val="single" w:sz="4" w:space="0" w:color="auto"/>
      </w:pBdr>
      <w:shd w:val="clear" w:color="000000" w:fill="000000"/>
      <w:spacing w:beforeAutospacing="1" w:after="100" w:afterAutospacing="1" w:line="240" w:lineRule="auto"/>
      <w:textAlignment w:val="center"/>
    </w:pPr>
    <w:rPr>
      <w:rFonts w:ascii="Arial" w:eastAsia="Times New Roman" w:hAnsi="Arial" w:cs="Arial"/>
      <w:b/>
      <w:bCs/>
      <w:color w:val="FFFFFF"/>
      <w:sz w:val="24"/>
      <w:szCs w:val="24"/>
      <w:lang w:val="en-GB" w:eastAsia="en-GB"/>
    </w:rPr>
  </w:style>
  <w:style w:type="paragraph" w:customStyle="1" w:styleId="xl154">
    <w:name w:val="xl154"/>
    <w:basedOn w:val="Normal"/>
    <w:rsid w:val="00090DC9"/>
    <w:pPr>
      <w:pBdr>
        <w:left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55">
    <w:name w:val="xl155"/>
    <w:basedOn w:val="Normal"/>
    <w:rsid w:val="00090DC9"/>
    <w:pPr>
      <w:pBdr>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56">
    <w:name w:val="xl156"/>
    <w:basedOn w:val="Normal"/>
    <w:rsid w:val="00090DC9"/>
    <w:pPr>
      <w:pBdr>
        <w:bottom w:val="single" w:sz="4" w:space="0" w:color="auto"/>
        <w:righ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57">
    <w:name w:val="xl157"/>
    <w:basedOn w:val="Normal"/>
    <w:rsid w:val="00090DC9"/>
    <w:pPr>
      <w:pBdr>
        <w:top w:val="single" w:sz="4" w:space="0" w:color="auto"/>
        <w:left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58">
    <w:name w:val="xl158"/>
    <w:basedOn w:val="Normal"/>
    <w:rsid w:val="00090DC9"/>
    <w:pPr>
      <w:pBdr>
        <w:top w:val="single" w:sz="4" w:space="0" w:color="auto"/>
        <w:bottom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59">
    <w:name w:val="xl159"/>
    <w:basedOn w:val="Normal"/>
    <w:rsid w:val="00090DC9"/>
    <w:pPr>
      <w:pBdr>
        <w:top w:val="single" w:sz="4" w:space="0" w:color="auto"/>
        <w:bottom w:val="single" w:sz="4" w:space="0" w:color="auto"/>
        <w:right w:val="single" w:sz="4" w:space="0" w:color="auto"/>
      </w:pBdr>
      <w:spacing w:beforeAutospacing="1" w:after="100" w:afterAutospacing="1" w:line="240" w:lineRule="auto"/>
      <w:textAlignment w:val="center"/>
    </w:pPr>
    <w:rPr>
      <w:rFonts w:ascii="Arial" w:eastAsia="Times New Roman" w:hAnsi="Arial" w:cs="Arial"/>
      <w:sz w:val="16"/>
      <w:szCs w:val="16"/>
      <w:lang w:val="en-GB" w:eastAsia="en-GB"/>
    </w:rPr>
  </w:style>
  <w:style w:type="paragraph" w:customStyle="1" w:styleId="xl160">
    <w:name w:val="xl160"/>
    <w:basedOn w:val="Normal"/>
    <w:rsid w:val="00090DC9"/>
    <w:pPr>
      <w:pBdr>
        <w:top w:val="single" w:sz="4" w:space="0" w:color="auto"/>
        <w:left w:val="single" w:sz="4" w:space="0" w:color="auto"/>
      </w:pBdr>
      <w:spacing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161">
    <w:name w:val="xl161"/>
    <w:basedOn w:val="Normal"/>
    <w:rsid w:val="00090DC9"/>
    <w:pPr>
      <w:pBdr>
        <w:left w:val="single" w:sz="4" w:space="0" w:color="auto"/>
        <w:bottom w:val="single" w:sz="4" w:space="0" w:color="auto"/>
      </w:pBdr>
      <w:spacing w:beforeAutospacing="1" w:after="100" w:afterAutospacing="1" w:line="240" w:lineRule="auto"/>
      <w:jc w:val="center"/>
      <w:textAlignment w:val="center"/>
    </w:pPr>
    <w:rPr>
      <w:rFonts w:ascii="Arial" w:eastAsia="Times New Roman" w:hAnsi="Arial" w:cs="Arial"/>
      <w:sz w:val="16"/>
      <w:szCs w:val="16"/>
      <w:lang w:val="en-GB" w:eastAsia="en-GB"/>
    </w:rPr>
  </w:style>
  <w:style w:type="paragraph" w:customStyle="1" w:styleId="xl162">
    <w:name w:val="xl162"/>
    <w:basedOn w:val="Normal"/>
    <w:rsid w:val="00090DC9"/>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63">
    <w:name w:val="xl163"/>
    <w:basedOn w:val="Normal"/>
    <w:rsid w:val="00090DC9"/>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64">
    <w:name w:val="xl164"/>
    <w:basedOn w:val="Normal"/>
    <w:rsid w:val="00090DC9"/>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65">
    <w:name w:val="xl165"/>
    <w:basedOn w:val="Normal"/>
    <w:rsid w:val="00090DC9"/>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66">
    <w:name w:val="xl166"/>
    <w:basedOn w:val="Normal"/>
    <w:rsid w:val="00090DC9"/>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67">
    <w:name w:val="xl167"/>
    <w:basedOn w:val="Normal"/>
    <w:rsid w:val="00090DC9"/>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68">
    <w:name w:val="xl168"/>
    <w:basedOn w:val="Normal"/>
    <w:rsid w:val="00090DC9"/>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69">
    <w:name w:val="xl169"/>
    <w:basedOn w:val="Normal"/>
    <w:rsid w:val="00090DC9"/>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70">
    <w:name w:val="xl170"/>
    <w:basedOn w:val="Normal"/>
    <w:rsid w:val="00090DC9"/>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71">
    <w:name w:val="xl171"/>
    <w:basedOn w:val="Normal"/>
    <w:rsid w:val="00090DC9"/>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72">
    <w:name w:val="xl172"/>
    <w:basedOn w:val="Normal"/>
    <w:rsid w:val="00090DC9"/>
    <w:pPr>
      <w:pBdr>
        <w:top w:val="single" w:sz="4" w:space="0" w:color="auto"/>
        <w:bottom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173">
    <w:name w:val="xl173"/>
    <w:basedOn w:val="Normal"/>
    <w:rsid w:val="00090DC9"/>
    <w:pPr>
      <w:pBdr>
        <w:top w:val="single" w:sz="4" w:space="0" w:color="auto"/>
        <w:bottom w:val="single" w:sz="4" w:space="0" w:color="auto"/>
        <w:right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174">
    <w:name w:val="xl174"/>
    <w:basedOn w:val="Normal"/>
    <w:rsid w:val="00090DC9"/>
    <w:pPr>
      <w:pBdr>
        <w:top w:val="single" w:sz="4" w:space="0" w:color="auto"/>
        <w:bottom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175">
    <w:name w:val="xl175"/>
    <w:basedOn w:val="Normal"/>
    <w:rsid w:val="00090DC9"/>
    <w:pPr>
      <w:pBdr>
        <w:top w:val="single" w:sz="4" w:space="0" w:color="auto"/>
        <w:bottom w:val="single" w:sz="4" w:space="0" w:color="auto"/>
        <w:right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176">
    <w:name w:val="xl176"/>
    <w:basedOn w:val="Normal"/>
    <w:rsid w:val="00090DC9"/>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77">
    <w:name w:val="xl177"/>
    <w:basedOn w:val="Normal"/>
    <w:rsid w:val="00090DC9"/>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78">
    <w:name w:val="xl178"/>
    <w:basedOn w:val="Normal"/>
    <w:rsid w:val="00090DC9"/>
    <w:pPr>
      <w:pBdr>
        <w:top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79">
    <w:name w:val="xl179"/>
    <w:basedOn w:val="Normal"/>
    <w:rsid w:val="00090DC9"/>
    <w:pPr>
      <w:pBdr>
        <w:bottom w:val="single" w:sz="4" w:space="0" w:color="auto"/>
      </w:pBdr>
      <w:spacing w:beforeAutospacing="1" w:after="100" w:afterAutospacing="1" w:line="240" w:lineRule="auto"/>
      <w:jc w:val="center"/>
    </w:pPr>
    <w:rPr>
      <w:rFonts w:ascii="Arial" w:eastAsia="Times New Roman" w:hAnsi="Arial" w:cs="Arial"/>
      <w:sz w:val="16"/>
      <w:szCs w:val="16"/>
      <w:lang w:val="en-GB" w:eastAsia="en-GB"/>
    </w:rPr>
  </w:style>
  <w:style w:type="paragraph" w:customStyle="1" w:styleId="xl180">
    <w:name w:val="xl180"/>
    <w:basedOn w:val="Normal"/>
    <w:rsid w:val="00090DC9"/>
    <w:pPr>
      <w:pBdr>
        <w:top w:val="single" w:sz="4" w:space="0" w:color="auto"/>
        <w:bottom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paragraph" w:customStyle="1" w:styleId="xl181">
    <w:name w:val="xl181"/>
    <w:basedOn w:val="Normal"/>
    <w:rsid w:val="00090DC9"/>
    <w:pPr>
      <w:pBdr>
        <w:top w:val="single" w:sz="4" w:space="0" w:color="auto"/>
        <w:bottom w:val="single" w:sz="4" w:space="0" w:color="auto"/>
        <w:right w:val="single" w:sz="4" w:space="0" w:color="auto"/>
      </w:pBdr>
      <w:spacing w:beforeAutospacing="1" w:after="100" w:afterAutospacing="1" w:line="240" w:lineRule="auto"/>
      <w:jc w:val="center"/>
    </w:pPr>
    <w:rPr>
      <w:rFonts w:ascii="Arial" w:eastAsia="Times New Roman" w:hAnsi="Arial" w:cs="Arial"/>
      <w:b/>
      <w:bCs/>
      <w:sz w:val="16"/>
      <w:szCs w:val="16"/>
      <w:lang w:val="en-GB" w:eastAsia="en-GB"/>
    </w:rPr>
  </w:style>
  <w:style w:type="character" w:customStyle="1" w:styleId="ListParagraphChar">
    <w:name w:val="List Paragraph Char"/>
    <w:link w:val="ListParagraph"/>
    <w:uiPriority w:val="34"/>
    <w:locked/>
    <w:rsid w:val="00F83A2F"/>
  </w:style>
  <w:style w:type="character" w:customStyle="1" w:styleId="BalloonTextChar">
    <w:name w:val="Balloon Text Char"/>
    <w:basedOn w:val="DefaultParagraphFont"/>
    <w:link w:val="BalloonText"/>
    <w:uiPriority w:val="99"/>
    <w:semiHidden/>
    <w:rsid w:val="00845D86"/>
    <w:rPr>
      <w:rFonts w:ascii="Tahoma" w:hAnsi="Tahoma" w:cs="Tahoma"/>
      <w:sz w:val="16"/>
      <w:szCs w:val="16"/>
    </w:rPr>
  </w:style>
  <w:style w:type="character" w:customStyle="1" w:styleId="CommentSubjectChar">
    <w:name w:val="Comment Subject Char"/>
    <w:basedOn w:val="CommentTextChar"/>
    <w:link w:val="CommentSubject"/>
    <w:uiPriority w:val="99"/>
    <w:semiHidden/>
    <w:rsid w:val="00845D86"/>
    <w:rPr>
      <w:rFonts w:ascii="Calibri Light" w:hAnsi="Calibri Light"/>
      <w:b/>
      <w:bCs/>
    </w:rPr>
  </w:style>
  <w:style w:type="paragraph" w:customStyle="1" w:styleId="Char2">
    <w:name w:val="Char2"/>
    <w:basedOn w:val="Normal"/>
    <w:link w:val="FootnoteReference"/>
    <w:uiPriority w:val="99"/>
    <w:rsid w:val="00E2460F"/>
    <w:pPr>
      <w:spacing w:before="0" w:after="160" w:line="240" w:lineRule="exact"/>
    </w:pPr>
    <w:rPr>
      <w:vertAlign w:val="superscript"/>
    </w:rPr>
  </w:style>
  <w:style w:type="paragraph" w:customStyle="1" w:styleId="modulename">
    <w:name w:val="module name"/>
    <w:basedOn w:val="Normal"/>
    <w:link w:val="modulenameChar"/>
    <w:rsid w:val="007E3806"/>
    <w:pPr>
      <w:spacing w:before="0" w:after="0" w:line="360" w:lineRule="auto"/>
      <w:ind w:left="216" w:hanging="216"/>
    </w:pPr>
    <w:rPr>
      <w:rFonts w:ascii="Times New Roman" w:eastAsia="Times New Roman" w:hAnsi="Times New Roman" w:cs="Times New Roman"/>
      <w:b/>
      <w:caps/>
      <w:sz w:val="24"/>
    </w:rPr>
  </w:style>
  <w:style w:type="character" w:customStyle="1" w:styleId="modulenameChar">
    <w:name w:val="module name Char"/>
    <w:link w:val="modulename"/>
    <w:rsid w:val="007E3806"/>
    <w:rPr>
      <w:rFonts w:ascii="Times New Roman" w:eastAsia="Times New Roman" w:hAnsi="Times New Roman" w:cs="Times New Roman"/>
      <w:b/>
      <w:caps/>
      <w:sz w:val="24"/>
    </w:rPr>
  </w:style>
  <w:style w:type="paragraph" w:customStyle="1" w:styleId="1IntvwqstCharCharChar">
    <w:name w:val="1. Intvw qst Char Char Char"/>
    <w:basedOn w:val="Normal"/>
    <w:link w:val="1IntvwqstCharCharCharChar1"/>
    <w:rsid w:val="007E3806"/>
    <w:pPr>
      <w:spacing w:before="0" w:after="0" w:line="360" w:lineRule="auto"/>
      <w:ind w:left="360" w:hanging="360"/>
    </w:pPr>
    <w:rPr>
      <w:rFonts w:ascii="Arial" w:eastAsia="Times New Roman" w:hAnsi="Arial" w:cs="Times New Roman"/>
      <w:smallCaps/>
    </w:rPr>
  </w:style>
  <w:style w:type="character" w:customStyle="1" w:styleId="1IntvwqstCharCharCharChar1">
    <w:name w:val="1. Intvw qst Char Char Char Char1"/>
    <w:link w:val="1IntvwqstCharCharChar"/>
    <w:rsid w:val="007E3806"/>
    <w:rPr>
      <w:rFonts w:ascii="Arial" w:eastAsia="Times New Roman" w:hAnsi="Arial" w:cs="Times New Roman"/>
      <w:smallCaps/>
    </w:rPr>
  </w:style>
  <w:style w:type="paragraph" w:customStyle="1" w:styleId="ResponsecategsChar">
    <w:name w:val="Response categs..... Char"/>
    <w:basedOn w:val="Normal"/>
    <w:link w:val="ResponsecategsCharChar"/>
    <w:rsid w:val="007E3806"/>
    <w:pPr>
      <w:tabs>
        <w:tab w:val="right" w:leader="dot" w:pos="3942"/>
      </w:tabs>
      <w:spacing w:before="0" w:after="0" w:line="360" w:lineRule="auto"/>
      <w:ind w:left="216" w:hanging="216"/>
    </w:pPr>
    <w:rPr>
      <w:rFonts w:ascii="Arial" w:eastAsia="Times New Roman" w:hAnsi="Arial" w:cs="Times New Roman"/>
    </w:rPr>
  </w:style>
  <w:style w:type="character" w:customStyle="1" w:styleId="ResponsecategsCharChar">
    <w:name w:val="Response categs..... Char Char"/>
    <w:link w:val="ResponsecategsChar"/>
    <w:rsid w:val="007E3806"/>
    <w:rPr>
      <w:rFonts w:ascii="Arial" w:eastAsia="Times New Roman" w:hAnsi="Arial" w:cs="Times New Roman"/>
    </w:rPr>
  </w:style>
  <w:style w:type="paragraph" w:customStyle="1" w:styleId="Clusterno">
    <w:name w:val="Cluster no."/>
    <w:basedOn w:val="Normal"/>
    <w:link w:val="ClusternoChar"/>
    <w:rsid w:val="007E3806"/>
    <w:pPr>
      <w:spacing w:before="0" w:after="0" w:line="360" w:lineRule="auto"/>
      <w:ind w:left="216" w:hanging="216"/>
      <w:jc w:val="right"/>
    </w:pPr>
    <w:rPr>
      <w:rFonts w:ascii="Times New Roman" w:eastAsia="Times New Roman" w:hAnsi="Times New Roman" w:cs="Times New Roman"/>
      <w:b/>
      <w:sz w:val="24"/>
    </w:rPr>
  </w:style>
  <w:style w:type="paragraph" w:customStyle="1" w:styleId="InstructionstointvwCharCharChar">
    <w:name w:val="Instructions to intvw Char Char Char"/>
    <w:basedOn w:val="modulename"/>
    <w:link w:val="InstructionstointvwCharCharCharChar"/>
    <w:rsid w:val="007E3806"/>
    <w:rPr>
      <w:i/>
    </w:rPr>
  </w:style>
  <w:style w:type="character" w:customStyle="1" w:styleId="InstructionstointvwCharCharCharChar">
    <w:name w:val="Instructions to intvw Char Char Char Char"/>
    <w:link w:val="InstructionstointvwCharCharChar"/>
    <w:rsid w:val="007E3806"/>
    <w:rPr>
      <w:rFonts w:ascii="Times New Roman" w:eastAsia="Times New Roman" w:hAnsi="Times New Roman" w:cs="Times New Roman"/>
      <w:b/>
      <w:i/>
      <w:caps/>
      <w:sz w:val="24"/>
    </w:rPr>
  </w:style>
  <w:style w:type="paragraph" w:customStyle="1" w:styleId="GOTONEXTMODULE">
    <w:name w:val="GO TO NEXT MODULE"/>
    <w:basedOn w:val="1IntvwqstCharCharChar"/>
    <w:rsid w:val="007E3806"/>
    <w:rPr>
      <w:rFonts w:ascii="Times New Roman" w:hAnsi="Times New Roman"/>
      <w:b/>
      <w:caps/>
      <w:smallCaps w:val="0"/>
      <w:sz w:val="21"/>
    </w:rPr>
  </w:style>
  <w:style w:type="paragraph" w:customStyle="1" w:styleId="adaptationnote">
    <w:name w:val="adaptation note"/>
    <w:basedOn w:val="Normal"/>
    <w:link w:val="adaptationnoteChar"/>
    <w:rsid w:val="007E3806"/>
    <w:pPr>
      <w:spacing w:before="0" w:after="0" w:line="360" w:lineRule="auto"/>
    </w:pPr>
    <w:rPr>
      <w:rFonts w:ascii="Arial" w:eastAsia="Times New Roman" w:hAnsi="Arial" w:cs="Times New Roman"/>
      <w:b/>
      <w:i/>
    </w:rPr>
  </w:style>
  <w:style w:type="character" w:customStyle="1" w:styleId="adaptationnoteChar">
    <w:name w:val="adaptation note Char"/>
    <w:link w:val="adaptationnote"/>
    <w:rsid w:val="007E3806"/>
    <w:rPr>
      <w:rFonts w:ascii="Arial" w:eastAsia="Times New Roman" w:hAnsi="Arial" w:cs="Times New Roman"/>
      <w:b/>
      <w:i/>
    </w:rPr>
  </w:style>
  <w:style w:type="paragraph" w:customStyle="1" w:styleId="Otherspecify">
    <w:name w:val="Other(specify)______"/>
    <w:basedOn w:val="Clusterno"/>
    <w:link w:val="OtherspecifyChar"/>
    <w:rsid w:val="007E3806"/>
    <w:pPr>
      <w:tabs>
        <w:tab w:val="right" w:leader="underscore" w:pos="3946"/>
      </w:tabs>
      <w:jc w:val="left"/>
    </w:pPr>
    <w:rPr>
      <w:rFonts w:ascii="Arial" w:hAnsi="Arial"/>
    </w:rPr>
  </w:style>
  <w:style w:type="paragraph" w:customStyle="1" w:styleId="skipcolumn">
    <w:name w:val="skip column"/>
    <w:basedOn w:val="Normal"/>
    <w:link w:val="skipcolumnChar"/>
    <w:rsid w:val="007E3806"/>
    <w:pPr>
      <w:spacing w:before="0" w:after="0" w:line="360" w:lineRule="auto"/>
      <w:ind w:left="216" w:hanging="216"/>
    </w:pPr>
    <w:rPr>
      <w:rFonts w:ascii="Arial" w:eastAsia="Times New Roman" w:hAnsi="Arial" w:cs="Times New Roman"/>
      <w:smallCaps/>
      <w:lang w:val="en-GB"/>
    </w:rPr>
  </w:style>
  <w:style w:type="paragraph" w:customStyle="1" w:styleId="questionnairename">
    <w:name w:val="questionnaire name"/>
    <w:basedOn w:val="modulename"/>
    <w:rsid w:val="007E3806"/>
    <w:pPr>
      <w:jc w:val="center"/>
    </w:pPr>
    <w:rPr>
      <w:sz w:val="28"/>
    </w:rPr>
  </w:style>
  <w:style w:type="character" w:customStyle="1" w:styleId="InstructionstointvwChar4">
    <w:name w:val="Instructions to intvw Char4"/>
    <w:link w:val="Instructionstointvw"/>
    <w:rsid w:val="007E3806"/>
    <w:rPr>
      <w:rFonts w:ascii="Times New Roman" w:eastAsia="Times New Roman" w:hAnsi="Times New Roman" w:cs="Times New Roman"/>
      <w:i/>
      <w:lang w:val="en-GB"/>
    </w:rPr>
  </w:style>
  <w:style w:type="paragraph" w:styleId="BodyTextIndent">
    <w:name w:val="Body Text Indent"/>
    <w:basedOn w:val="Normal"/>
    <w:link w:val="BodyTextIndentChar"/>
    <w:rsid w:val="007E3806"/>
    <w:pPr>
      <w:tabs>
        <w:tab w:val="right" w:leader="dot" w:pos="3942"/>
      </w:tabs>
      <w:spacing w:before="0" w:after="0" w:line="360" w:lineRule="auto"/>
      <w:ind w:left="216" w:hanging="225"/>
    </w:pPr>
    <w:rPr>
      <w:rFonts w:ascii="Arial" w:eastAsia="Times New Roman" w:hAnsi="Arial" w:cs="Times New Roman"/>
      <w:smallCaps/>
      <w:lang w:val="en-GB"/>
    </w:rPr>
  </w:style>
  <w:style w:type="character" w:customStyle="1" w:styleId="BodyTextIndentChar">
    <w:name w:val="Body Text Indent Char"/>
    <w:basedOn w:val="DefaultParagraphFont"/>
    <w:link w:val="BodyTextIndent"/>
    <w:rsid w:val="007E3806"/>
    <w:rPr>
      <w:rFonts w:ascii="Arial" w:eastAsia="Times New Roman" w:hAnsi="Arial" w:cs="Times New Roman"/>
      <w:smallCaps/>
      <w:lang w:val="en-GB"/>
    </w:rPr>
  </w:style>
  <w:style w:type="paragraph" w:styleId="BodyText3">
    <w:name w:val="Body Text 3"/>
    <w:basedOn w:val="Normal"/>
    <w:link w:val="BodyText3Char"/>
    <w:rsid w:val="007E3806"/>
    <w:pPr>
      <w:tabs>
        <w:tab w:val="left" w:pos="-700"/>
        <w:tab w:val="left" w:pos="1440"/>
      </w:tabs>
      <w:spacing w:before="0" w:after="58" w:line="360" w:lineRule="auto"/>
      <w:ind w:left="216" w:hanging="216"/>
      <w:jc w:val="center"/>
    </w:pPr>
    <w:rPr>
      <w:rFonts w:ascii="Arial" w:eastAsia="Times New Roman" w:hAnsi="Arial" w:cs="Times New Roman"/>
      <w:color w:val="000000"/>
      <w:sz w:val="14"/>
      <w:lang w:val="en-GB"/>
    </w:rPr>
  </w:style>
  <w:style w:type="character" w:customStyle="1" w:styleId="BodyText3Char">
    <w:name w:val="Body Text 3 Char"/>
    <w:basedOn w:val="DefaultParagraphFont"/>
    <w:link w:val="BodyText3"/>
    <w:rsid w:val="007E3806"/>
    <w:rPr>
      <w:rFonts w:ascii="Arial" w:eastAsia="Times New Roman" w:hAnsi="Arial" w:cs="Times New Roman"/>
      <w:color w:val="000000"/>
      <w:sz w:val="14"/>
      <w:lang w:val="en-GB"/>
    </w:rPr>
  </w:style>
  <w:style w:type="character" w:customStyle="1" w:styleId="Instructionsinparens">
    <w:name w:val="Instructions in parens"/>
    <w:rsid w:val="007E3806"/>
    <w:rPr>
      <w:rFonts w:ascii="Times New Roman" w:hAnsi="Times New Roman"/>
      <w:i/>
      <w:sz w:val="20"/>
      <w:szCs w:val="20"/>
    </w:rPr>
  </w:style>
  <w:style w:type="paragraph" w:customStyle="1" w:styleId="InstructionstointvwCharChar">
    <w:name w:val="Instructions to intvw Char Char"/>
    <w:basedOn w:val="Normal"/>
    <w:link w:val="InstructionstointvwCharCharChar1"/>
    <w:rsid w:val="007E3806"/>
    <w:pPr>
      <w:spacing w:before="0" w:after="0" w:line="360" w:lineRule="auto"/>
      <w:ind w:left="216" w:hanging="216"/>
    </w:pPr>
    <w:rPr>
      <w:rFonts w:ascii="Times New Roman" w:eastAsia="Times New Roman" w:hAnsi="Times New Roman" w:cs="Times New Roman"/>
      <w:i/>
    </w:rPr>
  </w:style>
  <w:style w:type="character" w:customStyle="1" w:styleId="InstructionstointvwCharCharChar1">
    <w:name w:val="Instructions to intvw Char Char Char1"/>
    <w:link w:val="InstructionstointvwCharChar"/>
    <w:rsid w:val="007E3806"/>
    <w:rPr>
      <w:rFonts w:ascii="Times New Roman" w:eastAsia="Times New Roman" w:hAnsi="Times New Roman" w:cs="Times New Roman"/>
      <w:i/>
    </w:rPr>
  </w:style>
  <w:style w:type="character" w:customStyle="1" w:styleId="1IntvwqstCharCharCharCharChar">
    <w:name w:val="1. Intvw qst Char Char Char Char Char"/>
    <w:rsid w:val="007E3806"/>
    <w:rPr>
      <w:rFonts w:ascii="Arial" w:hAnsi="Arial"/>
      <w:smallCaps/>
      <w:lang w:val="en-US" w:eastAsia="en-US" w:bidi="ar-SA"/>
    </w:rPr>
  </w:style>
  <w:style w:type="character" w:customStyle="1" w:styleId="1IntvwqstCharCharCharChar">
    <w:name w:val="1. Intvw qst Char Char Char Char"/>
    <w:rsid w:val="007E3806"/>
    <w:rPr>
      <w:rFonts w:ascii="Arial" w:hAnsi="Arial"/>
      <w:smallCaps/>
      <w:lang w:val="en-US" w:eastAsia="en-US" w:bidi="ar-SA"/>
    </w:rPr>
  </w:style>
  <w:style w:type="paragraph" w:customStyle="1" w:styleId="1IntvwqstChar1Char">
    <w:name w:val="1. Intvw qst Char1 Char"/>
    <w:basedOn w:val="Normal"/>
    <w:link w:val="1IntvwqstChar1CharChar"/>
    <w:rsid w:val="007E3806"/>
    <w:pPr>
      <w:spacing w:before="0" w:after="0" w:line="360" w:lineRule="auto"/>
      <w:ind w:left="360" w:hanging="360"/>
    </w:pPr>
    <w:rPr>
      <w:rFonts w:ascii="Arial" w:eastAsia="Times New Roman" w:hAnsi="Arial" w:cs="Times New Roman"/>
      <w:smallCaps/>
    </w:rPr>
  </w:style>
  <w:style w:type="character" w:customStyle="1" w:styleId="1IntvwqstChar1CharChar">
    <w:name w:val="1. Intvw qst Char1 Char Char"/>
    <w:link w:val="1IntvwqstChar1Char"/>
    <w:rsid w:val="007E3806"/>
    <w:rPr>
      <w:rFonts w:ascii="Arial" w:eastAsia="Times New Roman" w:hAnsi="Arial" w:cs="Times New Roman"/>
      <w:smallCaps/>
    </w:rPr>
  </w:style>
  <w:style w:type="character" w:customStyle="1" w:styleId="InstructionstointvwChar2">
    <w:name w:val="Instructions to intvw Char2"/>
    <w:rsid w:val="007E3806"/>
    <w:rPr>
      <w:i/>
      <w:lang w:val="en-US" w:eastAsia="en-US" w:bidi="ar-SA"/>
    </w:rPr>
  </w:style>
  <w:style w:type="paragraph" w:customStyle="1" w:styleId="1IntvwqstChar">
    <w:name w:val="1. Intvw qst Char"/>
    <w:basedOn w:val="Normal"/>
    <w:link w:val="1IntvwqstCharChar"/>
    <w:rsid w:val="007E3806"/>
    <w:pPr>
      <w:spacing w:before="0" w:after="0" w:line="360" w:lineRule="auto"/>
      <w:ind w:left="360" w:hanging="360"/>
    </w:pPr>
    <w:rPr>
      <w:rFonts w:ascii="Arial" w:eastAsia="Times New Roman" w:hAnsi="Arial" w:cs="Times New Roman"/>
      <w:smallCaps/>
      <w:sz w:val="24"/>
    </w:rPr>
  </w:style>
  <w:style w:type="character" w:customStyle="1" w:styleId="1IntvwqstCharChar">
    <w:name w:val="1. Intvw qst Char Char"/>
    <w:link w:val="1IntvwqstChar"/>
    <w:rsid w:val="007E3806"/>
    <w:rPr>
      <w:rFonts w:ascii="Arial" w:eastAsia="Times New Roman" w:hAnsi="Arial" w:cs="Times New Roman"/>
      <w:smallCaps/>
      <w:sz w:val="24"/>
    </w:rPr>
  </w:style>
  <w:style w:type="character" w:customStyle="1" w:styleId="InstructionstointvwCharChar1">
    <w:name w:val="Instructions to intvw Char Char1"/>
    <w:link w:val="InstructionstointvwChar3"/>
    <w:rsid w:val="007E3806"/>
    <w:rPr>
      <w:i/>
    </w:rPr>
  </w:style>
  <w:style w:type="paragraph" w:customStyle="1" w:styleId="InstructionstointvwChar3">
    <w:name w:val="Instructions to intvw Char3"/>
    <w:basedOn w:val="Normal"/>
    <w:link w:val="InstructionstointvwCharChar1"/>
    <w:rsid w:val="007E3806"/>
    <w:pPr>
      <w:spacing w:before="0" w:after="0" w:line="360" w:lineRule="auto"/>
      <w:ind w:left="216" w:hanging="216"/>
    </w:pPr>
    <w:rPr>
      <w:i/>
    </w:rPr>
  </w:style>
  <w:style w:type="character" w:customStyle="1" w:styleId="1IntvwqstCharCharChar1">
    <w:name w:val="1. Intvw qst Char Char Char1"/>
    <w:rsid w:val="007E3806"/>
    <w:rPr>
      <w:rFonts w:ascii="Arial" w:hAnsi="Arial"/>
      <w:smallCaps/>
      <w:lang w:val="en-US" w:eastAsia="en-US" w:bidi="ar-SA"/>
    </w:rPr>
  </w:style>
  <w:style w:type="character" w:customStyle="1" w:styleId="1IntvwqstCharChar1">
    <w:name w:val="1. Intvw qst Char Char1"/>
    <w:rsid w:val="007E3806"/>
    <w:rPr>
      <w:rFonts w:ascii="Arial" w:hAnsi="Arial"/>
      <w:smallCaps/>
      <w:lang w:val="en-US" w:eastAsia="en-US" w:bidi="ar-SA"/>
    </w:rPr>
  </w:style>
  <w:style w:type="character" w:customStyle="1" w:styleId="InstructionstointvwChar1">
    <w:name w:val="Instructions to intvw Char1"/>
    <w:rsid w:val="007E3806"/>
    <w:rPr>
      <w:i/>
      <w:lang w:val="en-US" w:eastAsia="en-US" w:bidi="ar-SA"/>
    </w:rPr>
  </w:style>
  <w:style w:type="paragraph" w:customStyle="1" w:styleId="IntvwinstructionsChar">
    <w:name w:val="Intvw instructions Char"/>
    <w:basedOn w:val="Normal"/>
    <w:link w:val="IntvwinstructionsCharChar"/>
    <w:rsid w:val="007E3806"/>
    <w:pPr>
      <w:spacing w:before="0" w:after="0" w:line="360" w:lineRule="auto"/>
      <w:ind w:left="216" w:hanging="216"/>
    </w:pPr>
    <w:rPr>
      <w:rFonts w:ascii="Times New Roman" w:eastAsia="Times New Roman" w:hAnsi="Times New Roman" w:cs="Times New Roman"/>
      <w:i/>
      <w:sz w:val="24"/>
      <w:lang w:eastAsia="en-GB"/>
    </w:rPr>
  </w:style>
  <w:style w:type="character" w:customStyle="1" w:styleId="IntvwinstructionsCharChar">
    <w:name w:val="Intvw instructions Char Char"/>
    <w:link w:val="IntvwinstructionsChar"/>
    <w:rsid w:val="007E3806"/>
    <w:rPr>
      <w:rFonts w:ascii="Times New Roman" w:eastAsia="Times New Roman" w:hAnsi="Times New Roman" w:cs="Times New Roman"/>
      <w:i/>
      <w:sz w:val="24"/>
      <w:lang w:eastAsia="en-GB"/>
    </w:rPr>
  </w:style>
  <w:style w:type="character" w:customStyle="1" w:styleId="II">
    <w:name w:val="II"/>
    <w:rsid w:val="007E3806"/>
    <w:rPr>
      <w:rFonts w:ascii="Times New Roman" w:hAnsi="Times New Roman"/>
      <w:i/>
      <w:sz w:val="21"/>
    </w:rPr>
  </w:style>
  <w:style w:type="paragraph" w:customStyle="1" w:styleId="InstructionstointvwChar">
    <w:name w:val="Instructions to intvw Char"/>
    <w:basedOn w:val="Normal"/>
    <w:rsid w:val="007E3806"/>
    <w:pPr>
      <w:spacing w:before="0" w:after="0" w:line="360" w:lineRule="auto"/>
      <w:ind w:left="216" w:hanging="216"/>
    </w:pPr>
    <w:rPr>
      <w:rFonts w:ascii="Times New Roman" w:eastAsia="Times New Roman" w:hAnsi="Times New Roman" w:cs="Times New Roman"/>
      <w:i/>
      <w:lang w:val="en-GB"/>
    </w:rPr>
  </w:style>
  <w:style w:type="character" w:customStyle="1" w:styleId="1IntvwqstCharCharChar2">
    <w:name w:val="1. Intvw qst Char Char Char2"/>
    <w:rsid w:val="007E3806"/>
    <w:rPr>
      <w:rFonts w:ascii="Arial" w:hAnsi="Arial"/>
      <w:smallCaps/>
      <w:lang w:val="en-US" w:eastAsia="en-US" w:bidi="ar-SA"/>
    </w:rPr>
  </w:style>
  <w:style w:type="character" w:customStyle="1" w:styleId="ClusternoChar">
    <w:name w:val="Cluster no. Char"/>
    <w:link w:val="Clusterno"/>
    <w:rsid w:val="007E3806"/>
    <w:rPr>
      <w:rFonts w:ascii="Times New Roman" w:eastAsia="Times New Roman" w:hAnsi="Times New Roman" w:cs="Times New Roman"/>
      <w:b/>
      <w:sz w:val="24"/>
    </w:rPr>
  </w:style>
  <w:style w:type="character" w:customStyle="1" w:styleId="OtherspecifyChar">
    <w:name w:val="Other(specify)______ Char"/>
    <w:link w:val="Otherspecify"/>
    <w:rsid w:val="007E3806"/>
    <w:rPr>
      <w:rFonts w:ascii="Arial" w:eastAsia="Times New Roman" w:hAnsi="Arial" w:cs="Times New Roman"/>
      <w:b/>
      <w:sz w:val="24"/>
    </w:rPr>
  </w:style>
  <w:style w:type="paragraph" w:customStyle="1" w:styleId="Responsecategs">
    <w:name w:val="Response categs....."/>
    <w:basedOn w:val="Normal"/>
    <w:rsid w:val="007E3806"/>
    <w:pPr>
      <w:tabs>
        <w:tab w:val="right" w:leader="dot" w:pos="3942"/>
      </w:tabs>
      <w:spacing w:before="0" w:after="0" w:line="360" w:lineRule="auto"/>
      <w:ind w:left="216" w:hanging="216"/>
    </w:pPr>
    <w:rPr>
      <w:rFonts w:ascii="Arial" w:eastAsia="Times New Roman" w:hAnsi="Arial" w:cs="Times New Roman"/>
      <w:lang w:val="en-GB"/>
    </w:rPr>
  </w:style>
  <w:style w:type="paragraph" w:customStyle="1" w:styleId="1Intvwqst">
    <w:name w:val="1. Intvw qst"/>
    <w:basedOn w:val="Normal"/>
    <w:link w:val="1IntvwqstChar1"/>
    <w:rsid w:val="007E3806"/>
    <w:pPr>
      <w:spacing w:before="0" w:after="0" w:line="360" w:lineRule="auto"/>
      <w:ind w:left="360" w:hanging="360"/>
    </w:pPr>
    <w:rPr>
      <w:rFonts w:ascii="Arial" w:eastAsia="Times New Roman" w:hAnsi="Arial" w:cs="Times New Roman"/>
      <w:smallCaps/>
    </w:rPr>
  </w:style>
  <w:style w:type="character" w:customStyle="1" w:styleId="1IntvwqstChar1">
    <w:name w:val="1. Intvw qst Char1"/>
    <w:link w:val="1Intvwqst"/>
    <w:rsid w:val="007E3806"/>
    <w:rPr>
      <w:rFonts w:ascii="Arial" w:eastAsia="Times New Roman" w:hAnsi="Arial" w:cs="Times New Roman"/>
      <w:smallCaps/>
    </w:rPr>
  </w:style>
  <w:style w:type="character" w:customStyle="1" w:styleId="modulenameCharChar">
    <w:name w:val="module name Char Char"/>
    <w:rsid w:val="007E3806"/>
    <w:rPr>
      <w:b/>
      <w:caps/>
      <w:sz w:val="24"/>
      <w:lang w:val="en-US" w:eastAsia="en-US" w:bidi="ar-SA"/>
    </w:rPr>
  </w:style>
  <w:style w:type="character" w:customStyle="1" w:styleId="InstructionstointvwChar4Char">
    <w:name w:val="Instructions to intvw Char4 Char"/>
    <w:rsid w:val="007E3806"/>
    <w:rPr>
      <w:i/>
      <w:lang w:val="en-US" w:eastAsia="en-US" w:bidi="ar-SA"/>
    </w:rPr>
  </w:style>
  <w:style w:type="character" w:customStyle="1" w:styleId="1IntvwqstChar2">
    <w:name w:val="1. Intvw qst Char2"/>
    <w:rsid w:val="007E3806"/>
    <w:rPr>
      <w:rFonts w:ascii="Arial" w:hAnsi="Arial"/>
      <w:smallCaps/>
      <w:lang w:val="en-US" w:eastAsia="en-US" w:bidi="ar-SA"/>
    </w:rPr>
  </w:style>
  <w:style w:type="character" w:customStyle="1" w:styleId="OtherspecifyCharChar">
    <w:name w:val="Other(specify)______ Char Char"/>
    <w:rsid w:val="007E3806"/>
    <w:rPr>
      <w:rFonts w:ascii="Arial" w:hAnsi="Arial"/>
      <w:b/>
      <w:sz w:val="24"/>
      <w:lang w:val="en-US" w:eastAsia="en-US" w:bidi="ar-SA"/>
    </w:rPr>
  </w:style>
  <w:style w:type="character" w:customStyle="1" w:styleId="InstructionstointvwChar5">
    <w:name w:val="Instructions to intvw Char5"/>
    <w:rsid w:val="007E3806"/>
    <w:rPr>
      <w:i/>
      <w:sz w:val="24"/>
      <w:lang w:val="en-US" w:eastAsia="en-US" w:bidi="ar-SA"/>
    </w:rPr>
  </w:style>
  <w:style w:type="paragraph" w:styleId="DocumentMap">
    <w:name w:val="Document Map"/>
    <w:basedOn w:val="Normal"/>
    <w:link w:val="DocumentMapChar"/>
    <w:semiHidden/>
    <w:rsid w:val="007E3806"/>
    <w:pPr>
      <w:shd w:val="clear" w:color="auto" w:fill="000080"/>
      <w:spacing w:before="0" w:after="0" w:line="360" w:lineRule="auto"/>
      <w:ind w:left="216" w:hanging="216"/>
    </w:pPr>
    <w:rPr>
      <w:rFonts w:ascii="Tahoma" w:eastAsia="Times New Roman" w:hAnsi="Tahoma" w:cs="Tahoma"/>
      <w:lang w:val="en-GB"/>
    </w:rPr>
  </w:style>
  <w:style w:type="character" w:customStyle="1" w:styleId="DocumentMapChar">
    <w:name w:val="Document Map Char"/>
    <w:basedOn w:val="DefaultParagraphFont"/>
    <w:link w:val="DocumentMap"/>
    <w:semiHidden/>
    <w:rsid w:val="007E3806"/>
    <w:rPr>
      <w:rFonts w:ascii="Tahoma" w:eastAsia="Times New Roman" w:hAnsi="Tahoma" w:cs="Tahoma"/>
      <w:shd w:val="clear" w:color="auto" w:fill="000080"/>
      <w:lang w:val="en-GB"/>
    </w:rPr>
  </w:style>
  <w:style w:type="character" w:customStyle="1" w:styleId="TL2">
    <w:name w:val="TL2"/>
    <w:rsid w:val="007E3806"/>
  </w:style>
  <w:style w:type="character" w:customStyle="1" w:styleId="IQ">
    <w:name w:val="IQ"/>
    <w:rsid w:val="007E3806"/>
    <w:rPr>
      <w:rFonts w:ascii="Times New Roman" w:hAnsi="Times New Roman"/>
      <w:smallCaps/>
      <w:sz w:val="21"/>
    </w:rPr>
  </w:style>
  <w:style w:type="table" w:customStyle="1" w:styleId="DefaultTable">
    <w:name w:val="Default Table"/>
    <w:rsid w:val="007E3806"/>
    <w:pPr>
      <w:spacing w:before="0" w:after="0" w:line="240" w:lineRule="auto"/>
    </w:pPr>
    <w:rPr>
      <w:rFonts w:ascii="Times New Roman" w:eastAsia="Batang" w:hAnsi="Times New Roman" w:cs="Times New Roman"/>
      <w:lang w:val="en-ZW" w:eastAsia="en-Z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kipcolumnChar">
    <w:name w:val="skip column Char"/>
    <w:link w:val="skipcolumn"/>
    <w:rsid w:val="007E3806"/>
    <w:rPr>
      <w:rFonts w:ascii="Arial" w:eastAsia="Times New Roman" w:hAnsi="Arial" w:cs="Times New Roman"/>
      <w:smallCaps/>
      <w:lang w:val="en-GB"/>
    </w:rPr>
  </w:style>
  <w:style w:type="paragraph" w:customStyle="1" w:styleId="Normal1">
    <w:name w:val="Normal1"/>
    <w:rsid w:val="007E3806"/>
    <w:pPr>
      <w:spacing w:before="0" w:after="0" w:line="240" w:lineRule="auto"/>
    </w:pPr>
    <w:rPr>
      <w:rFonts w:ascii="Times New Roman" w:eastAsia="Times New Roman" w:hAnsi="Times New Roman" w:cs="Times New Roman"/>
      <w:color w:val="000000"/>
      <w:sz w:val="24"/>
    </w:rPr>
  </w:style>
  <w:style w:type="character" w:customStyle="1" w:styleId="PlainTextChar">
    <w:name w:val="Plain Text Char"/>
    <w:basedOn w:val="DefaultParagraphFont"/>
    <w:link w:val="PlainText"/>
    <w:uiPriority w:val="99"/>
    <w:rsid w:val="007E3806"/>
    <w:rPr>
      <w:rFonts w:ascii="Courier New" w:hAnsi="Courier New"/>
      <w:lang w:val="en-GB"/>
    </w:rPr>
  </w:style>
  <w:style w:type="character" w:customStyle="1" w:styleId="shorttext">
    <w:name w:val="short_text"/>
    <w:basedOn w:val="DefaultParagraphFont"/>
    <w:rsid w:val="007E3806"/>
  </w:style>
  <w:style w:type="character" w:customStyle="1" w:styleId="Mention1">
    <w:name w:val="Mention1"/>
    <w:basedOn w:val="DefaultParagraphFont"/>
    <w:uiPriority w:val="99"/>
    <w:semiHidden/>
    <w:unhideWhenUsed/>
    <w:rsid w:val="007E3806"/>
    <w:rPr>
      <w:color w:val="2B579A"/>
      <w:shd w:val="clear" w:color="auto" w:fill="E6E6E6"/>
    </w:rPr>
  </w:style>
  <w:style w:type="character" w:customStyle="1" w:styleId="BodyTextIndent2Char">
    <w:name w:val="Body Text Indent 2 Char"/>
    <w:basedOn w:val="DefaultParagraphFont"/>
    <w:link w:val="BodyTextIndent2"/>
    <w:rsid w:val="007E3806"/>
  </w:style>
  <w:style w:type="character" w:customStyle="1" w:styleId="1IntvwqstCharCharChar3">
    <w:name w:val="1. Intvw qst Char Char Char3"/>
    <w:rsid w:val="007E3806"/>
    <w:rPr>
      <w:rFonts w:ascii="Arial" w:hAnsi="Arial"/>
      <w:smallCaps/>
      <w:lang w:val="en-US" w:eastAsia="en-US" w:bidi="ar-SA"/>
    </w:rPr>
  </w:style>
  <w:style w:type="character" w:customStyle="1" w:styleId="InstructionstointvwCharCharChar1Char">
    <w:name w:val="Instructions to intvw Char Char Char1 Char"/>
    <w:rsid w:val="007E3806"/>
    <w:rPr>
      <w:i/>
      <w:lang w:val="en-US" w:eastAsia="en-US" w:bidi="ar-SA"/>
    </w:rPr>
  </w:style>
  <w:style w:type="paragraph" w:customStyle="1" w:styleId="1intvwqst0">
    <w:name w:val="1intvwqst"/>
    <w:basedOn w:val="Normal"/>
    <w:uiPriority w:val="99"/>
    <w:rsid w:val="007E3806"/>
    <w:pPr>
      <w:spacing w:before="0" w:after="0" w:line="240" w:lineRule="auto"/>
    </w:pPr>
    <w:rPr>
      <w:rFonts w:ascii="Times New Roman" w:eastAsiaTheme="minorHAnsi" w:hAnsi="Times New Roman" w:cs="Times New Roman"/>
      <w:sz w:val="24"/>
      <w:szCs w:val="24"/>
    </w:rPr>
  </w:style>
  <w:style w:type="paragraph" w:customStyle="1" w:styleId="p1">
    <w:name w:val="p1"/>
    <w:basedOn w:val="Normal"/>
    <w:rsid w:val="007E3806"/>
    <w:pPr>
      <w:spacing w:before="0" w:after="0" w:line="240" w:lineRule="auto"/>
    </w:pPr>
    <w:rPr>
      <w:rFonts w:ascii="Calibri" w:eastAsia="Times New Roman" w:hAnsi="Calibri" w:cs="Times New Roman"/>
      <w:sz w:val="18"/>
      <w:szCs w:val="18"/>
    </w:rPr>
  </w:style>
  <w:style w:type="character" w:customStyle="1" w:styleId="hps">
    <w:name w:val="hps"/>
    <w:basedOn w:val="DefaultParagraphFont"/>
    <w:rsid w:val="007E3806"/>
  </w:style>
  <w:style w:type="table" w:customStyle="1" w:styleId="PlainTable11">
    <w:name w:val="Plain Table 11"/>
    <w:basedOn w:val="TableNormal"/>
    <w:uiPriority w:val="41"/>
    <w:rsid w:val="007E3806"/>
    <w:pPr>
      <w:spacing w:before="0" w:after="0" w:line="240" w:lineRule="auto"/>
    </w:pPr>
    <w:rPr>
      <w:sz w:val="22"/>
      <w:szCs w:val="22"/>
      <w:lang w:val="en-GB" w:eastAsia="ja-JP"/>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7E3806"/>
  </w:style>
  <w:style w:type="character" w:customStyle="1" w:styleId="UnresolvedMention1">
    <w:name w:val="Unresolved Mention1"/>
    <w:basedOn w:val="DefaultParagraphFont"/>
    <w:uiPriority w:val="99"/>
    <w:semiHidden/>
    <w:unhideWhenUsed/>
    <w:rsid w:val="009325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602">
      <w:bodyDiv w:val="1"/>
      <w:marLeft w:val="0"/>
      <w:marRight w:val="0"/>
      <w:marTop w:val="0"/>
      <w:marBottom w:val="0"/>
      <w:divBdr>
        <w:top w:val="none" w:sz="0" w:space="0" w:color="auto"/>
        <w:left w:val="none" w:sz="0" w:space="0" w:color="auto"/>
        <w:bottom w:val="none" w:sz="0" w:space="0" w:color="auto"/>
        <w:right w:val="none" w:sz="0" w:space="0" w:color="auto"/>
      </w:divBdr>
    </w:div>
    <w:div w:id="2443674">
      <w:bodyDiv w:val="1"/>
      <w:marLeft w:val="0"/>
      <w:marRight w:val="0"/>
      <w:marTop w:val="0"/>
      <w:marBottom w:val="0"/>
      <w:divBdr>
        <w:top w:val="none" w:sz="0" w:space="0" w:color="auto"/>
        <w:left w:val="none" w:sz="0" w:space="0" w:color="auto"/>
        <w:bottom w:val="none" w:sz="0" w:space="0" w:color="auto"/>
        <w:right w:val="none" w:sz="0" w:space="0" w:color="auto"/>
      </w:divBdr>
    </w:div>
    <w:div w:id="5908374">
      <w:bodyDiv w:val="1"/>
      <w:marLeft w:val="0"/>
      <w:marRight w:val="0"/>
      <w:marTop w:val="0"/>
      <w:marBottom w:val="0"/>
      <w:divBdr>
        <w:top w:val="none" w:sz="0" w:space="0" w:color="auto"/>
        <w:left w:val="none" w:sz="0" w:space="0" w:color="auto"/>
        <w:bottom w:val="none" w:sz="0" w:space="0" w:color="auto"/>
        <w:right w:val="none" w:sz="0" w:space="0" w:color="auto"/>
      </w:divBdr>
      <w:divsChild>
        <w:div w:id="1022975449">
          <w:marLeft w:val="0"/>
          <w:marRight w:val="0"/>
          <w:marTop w:val="0"/>
          <w:marBottom w:val="0"/>
          <w:divBdr>
            <w:top w:val="none" w:sz="0" w:space="0" w:color="auto"/>
            <w:left w:val="none" w:sz="0" w:space="0" w:color="auto"/>
            <w:bottom w:val="none" w:sz="0" w:space="0" w:color="auto"/>
            <w:right w:val="none" w:sz="0" w:space="0" w:color="auto"/>
          </w:divBdr>
          <w:divsChild>
            <w:div w:id="1265846065">
              <w:marLeft w:val="-225"/>
              <w:marRight w:val="-225"/>
              <w:marTop w:val="0"/>
              <w:marBottom w:val="0"/>
              <w:divBdr>
                <w:top w:val="none" w:sz="0" w:space="0" w:color="auto"/>
                <w:left w:val="none" w:sz="0" w:space="0" w:color="auto"/>
                <w:bottom w:val="none" w:sz="0" w:space="0" w:color="auto"/>
                <w:right w:val="none" w:sz="0" w:space="0" w:color="auto"/>
              </w:divBdr>
              <w:divsChild>
                <w:div w:id="153768634">
                  <w:marLeft w:val="0"/>
                  <w:marRight w:val="0"/>
                  <w:marTop w:val="0"/>
                  <w:marBottom w:val="0"/>
                  <w:divBdr>
                    <w:top w:val="none" w:sz="0" w:space="0" w:color="auto"/>
                    <w:left w:val="none" w:sz="0" w:space="0" w:color="auto"/>
                    <w:bottom w:val="none" w:sz="0" w:space="0" w:color="auto"/>
                    <w:right w:val="none" w:sz="0" w:space="0" w:color="auto"/>
                  </w:divBdr>
                  <w:divsChild>
                    <w:div w:id="432895271">
                      <w:marLeft w:val="-225"/>
                      <w:marRight w:val="-225"/>
                      <w:marTop w:val="0"/>
                      <w:marBottom w:val="0"/>
                      <w:divBdr>
                        <w:top w:val="none" w:sz="0" w:space="0" w:color="auto"/>
                        <w:left w:val="none" w:sz="0" w:space="0" w:color="auto"/>
                        <w:bottom w:val="none" w:sz="0" w:space="0" w:color="auto"/>
                        <w:right w:val="none" w:sz="0" w:space="0" w:color="auto"/>
                      </w:divBdr>
                      <w:divsChild>
                        <w:div w:id="993797967">
                          <w:marLeft w:val="0"/>
                          <w:marRight w:val="0"/>
                          <w:marTop w:val="0"/>
                          <w:marBottom w:val="0"/>
                          <w:divBdr>
                            <w:top w:val="none" w:sz="0" w:space="0" w:color="auto"/>
                            <w:left w:val="none" w:sz="0" w:space="0" w:color="auto"/>
                            <w:bottom w:val="none" w:sz="0" w:space="0" w:color="auto"/>
                            <w:right w:val="none" w:sz="0" w:space="0" w:color="auto"/>
                          </w:divBdr>
                          <w:divsChild>
                            <w:div w:id="640498730">
                              <w:marLeft w:val="0"/>
                              <w:marRight w:val="0"/>
                              <w:marTop w:val="0"/>
                              <w:marBottom w:val="0"/>
                              <w:divBdr>
                                <w:top w:val="none" w:sz="0" w:space="0" w:color="auto"/>
                                <w:left w:val="none" w:sz="0" w:space="0" w:color="auto"/>
                                <w:bottom w:val="none" w:sz="0" w:space="0" w:color="auto"/>
                                <w:right w:val="none" w:sz="0" w:space="0" w:color="auto"/>
                              </w:divBdr>
                              <w:divsChild>
                                <w:div w:id="1439984678">
                                  <w:marLeft w:val="0"/>
                                  <w:marRight w:val="0"/>
                                  <w:marTop w:val="0"/>
                                  <w:marBottom w:val="0"/>
                                  <w:divBdr>
                                    <w:top w:val="none" w:sz="0" w:space="0" w:color="auto"/>
                                    <w:left w:val="none" w:sz="0" w:space="0" w:color="auto"/>
                                    <w:bottom w:val="none" w:sz="0" w:space="0" w:color="auto"/>
                                    <w:right w:val="none" w:sz="0" w:space="0" w:color="auto"/>
                                  </w:divBdr>
                                  <w:divsChild>
                                    <w:div w:id="276839504">
                                      <w:marLeft w:val="0"/>
                                      <w:marRight w:val="0"/>
                                      <w:marTop w:val="0"/>
                                      <w:marBottom w:val="0"/>
                                      <w:divBdr>
                                        <w:top w:val="none" w:sz="0" w:space="0" w:color="auto"/>
                                        <w:left w:val="none" w:sz="0" w:space="0" w:color="auto"/>
                                        <w:bottom w:val="none" w:sz="0" w:space="0" w:color="auto"/>
                                        <w:right w:val="none" w:sz="0" w:space="0" w:color="auto"/>
                                      </w:divBdr>
                                      <w:divsChild>
                                        <w:div w:id="1445611542">
                                          <w:marLeft w:val="0"/>
                                          <w:marRight w:val="0"/>
                                          <w:marTop w:val="0"/>
                                          <w:marBottom w:val="0"/>
                                          <w:divBdr>
                                            <w:top w:val="none" w:sz="0" w:space="0" w:color="auto"/>
                                            <w:left w:val="none" w:sz="0" w:space="0" w:color="auto"/>
                                            <w:bottom w:val="none" w:sz="0" w:space="0" w:color="auto"/>
                                            <w:right w:val="none" w:sz="0" w:space="0" w:color="auto"/>
                                          </w:divBdr>
                                          <w:divsChild>
                                            <w:div w:id="312687769">
                                              <w:marLeft w:val="0"/>
                                              <w:marRight w:val="0"/>
                                              <w:marTop w:val="0"/>
                                              <w:marBottom w:val="0"/>
                                              <w:divBdr>
                                                <w:top w:val="none" w:sz="0" w:space="0" w:color="auto"/>
                                                <w:left w:val="none" w:sz="0" w:space="0" w:color="auto"/>
                                                <w:bottom w:val="none" w:sz="0" w:space="0" w:color="auto"/>
                                                <w:right w:val="none" w:sz="0" w:space="0" w:color="auto"/>
                                              </w:divBdr>
                                              <w:divsChild>
                                                <w:div w:id="2097708725">
                                                  <w:marLeft w:val="0"/>
                                                  <w:marRight w:val="0"/>
                                                  <w:marTop w:val="0"/>
                                                  <w:marBottom w:val="0"/>
                                                  <w:divBdr>
                                                    <w:top w:val="none" w:sz="0" w:space="0" w:color="auto"/>
                                                    <w:left w:val="none" w:sz="0" w:space="0" w:color="auto"/>
                                                    <w:bottom w:val="none" w:sz="0" w:space="0" w:color="auto"/>
                                                    <w:right w:val="none" w:sz="0" w:space="0" w:color="auto"/>
                                                  </w:divBdr>
                                                  <w:divsChild>
                                                    <w:div w:id="1049576352">
                                                      <w:marLeft w:val="0"/>
                                                      <w:marRight w:val="0"/>
                                                      <w:marTop w:val="0"/>
                                                      <w:marBottom w:val="0"/>
                                                      <w:divBdr>
                                                        <w:top w:val="none" w:sz="0" w:space="0" w:color="auto"/>
                                                        <w:left w:val="none" w:sz="0" w:space="0" w:color="auto"/>
                                                        <w:bottom w:val="none" w:sz="0" w:space="0" w:color="auto"/>
                                                        <w:right w:val="none" w:sz="0" w:space="0" w:color="auto"/>
                                                      </w:divBdr>
                                                      <w:divsChild>
                                                        <w:div w:id="615253511">
                                                          <w:marLeft w:val="0"/>
                                                          <w:marRight w:val="0"/>
                                                          <w:marTop w:val="0"/>
                                                          <w:marBottom w:val="0"/>
                                                          <w:divBdr>
                                                            <w:top w:val="none" w:sz="0" w:space="0" w:color="auto"/>
                                                            <w:left w:val="none" w:sz="0" w:space="0" w:color="auto"/>
                                                            <w:bottom w:val="none" w:sz="0" w:space="0" w:color="auto"/>
                                                            <w:right w:val="none" w:sz="0" w:space="0" w:color="auto"/>
                                                          </w:divBdr>
                                                          <w:divsChild>
                                                            <w:div w:id="2073501776">
                                                              <w:marLeft w:val="0"/>
                                                              <w:marRight w:val="0"/>
                                                              <w:marTop w:val="0"/>
                                                              <w:marBottom w:val="0"/>
                                                              <w:divBdr>
                                                                <w:top w:val="none" w:sz="0" w:space="0" w:color="auto"/>
                                                                <w:left w:val="none" w:sz="0" w:space="0" w:color="auto"/>
                                                                <w:bottom w:val="none" w:sz="0" w:space="0" w:color="auto"/>
                                                                <w:right w:val="none" w:sz="0" w:space="0" w:color="auto"/>
                                                              </w:divBdr>
                                                              <w:divsChild>
                                                                <w:div w:id="467089435">
                                                                  <w:marLeft w:val="0"/>
                                                                  <w:marRight w:val="0"/>
                                                                  <w:marTop w:val="0"/>
                                                                  <w:marBottom w:val="0"/>
                                                                  <w:divBdr>
                                                                    <w:top w:val="none" w:sz="0" w:space="0" w:color="auto"/>
                                                                    <w:left w:val="none" w:sz="0" w:space="0" w:color="auto"/>
                                                                    <w:bottom w:val="none" w:sz="0" w:space="0" w:color="auto"/>
                                                                    <w:right w:val="none" w:sz="0" w:space="0" w:color="auto"/>
                                                                  </w:divBdr>
                                                                  <w:divsChild>
                                                                    <w:div w:id="37404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518670">
      <w:bodyDiv w:val="1"/>
      <w:marLeft w:val="0"/>
      <w:marRight w:val="0"/>
      <w:marTop w:val="0"/>
      <w:marBottom w:val="0"/>
      <w:divBdr>
        <w:top w:val="none" w:sz="0" w:space="0" w:color="auto"/>
        <w:left w:val="none" w:sz="0" w:space="0" w:color="auto"/>
        <w:bottom w:val="none" w:sz="0" w:space="0" w:color="auto"/>
        <w:right w:val="none" w:sz="0" w:space="0" w:color="auto"/>
      </w:divBdr>
    </w:div>
    <w:div w:id="6949575">
      <w:bodyDiv w:val="1"/>
      <w:marLeft w:val="0"/>
      <w:marRight w:val="0"/>
      <w:marTop w:val="0"/>
      <w:marBottom w:val="0"/>
      <w:divBdr>
        <w:top w:val="none" w:sz="0" w:space="0" w:color="auto"/>
        <w:left w:val="none" w:sz="0" w:space="0" w:color="auto"/>
        <w:bottom w:val="none" w:sz="0" w:space="0" w:color="auto"/>
        <w:right w:val="none" w:sz="0" w:space="0" w:color="auto"/>
      </w:divBdr>
    </w:div>
    <w:div w:id="10031109">
      <w:bodyDiv w:val="1"/>
      <w:marLeft w:val="0"/>
      <w:marRight w:val="0"/>
      <w:marTop w:val="0"/>
      <w:marBottom w:val="0"/>
      <w:divBdr>
        <w:top w:val="none" w:sz="0" w:space="0" w:color="auto"/>
        <w:left w:val="none" w:sz="0" w:space="0" w:color="auto"/>
        <w:bottom w:val="none" w:sz="0" w:space="0" w:color="auto"/>
        <w:right w:val="none" w:sz="0" w:space="0" w:color="auto"/>
      </w:divBdr>
    </w:div>
    <w:div w:id="10567001">
      <w:bodyDiv w:val="1"/>
      <w:marLeft w:val="0"/>
      <w:marRight w:val="0"/>
      <w:marTop w:val="0"/>
      <w:marBottom w:val="0"/>
      <w:divBdr>
        <w:top w:val="none" w:sz="0" w:space="0" w:color="auto"/>
        <w:left w:val="none" w:sz="0" w:space="0" w:color="auto"/>
        <w:bottom w:val="none" w:sz="0" w:space="0" w:color="auto"/>
        <w:right w:val="none" w:sz="0" w:space="0" w:color="auto"/>
      </w:divBdr>
    </w:div>
    <w:div w:id="23941920">
      <w:bodyDiv w:val="1"/>
      <w:marLeft w:val="0"/>
      <w:marRight w:val="0"/>
      <w:marTop w:val="0"/>
      <w:marBottom w:val="0"/>
      <w:divBdr>
        <w:top w:val="none" w:sz="0" w:space="0" w:color="auto"/>
        <w:left w:val="none" w:sz="0" w:space="0" w:color="auto"/>
        <w:bottom w:val="none" w:sz="0" w:space="0" w:color="auto"/>
        <w:right w:val="none" w:sz="0" w:space="0" w:color="auto"/>
      </w:divBdr>
      <w:divsChild>
        <w:div w:id="644159616">
          <w:marLeft w:val="0"/>
          <w:marRight w:val="0"/>
          <w:marTop w:val="0"/>
          <w:marBottom w:val="0"/>
          <w:divBdr>
            <w:top w:val="none" w:sz="0" w:space="0" w:color="auto"/>
            <w:left w:val="none" w:sz="0" w:space="0" w:color="auto"/>
            <w:bottom w:val="none" w:sz="0" w:space="0" w:color="auto"/>
            <w:right w:val="none" w:sz="0" w:space="0" w:color="auto"/>
          </w:divBdr>
        </w:div>
        <w:div w:id="1649018384">
          <w:marLeft w:val="0"/>
          <w:marRight w:val="0"/>
          <w:marTop w:val="0"/>
          <w:marBottom w:val="0"/>
          <w:divBdr>
            <w:top w:val="none" w:sz="0" w:space="0" w:color="auto"/>
            <w:left w:val="none" w:sz="0" w:space="0" w:color="auto"/>
            <w:bottom w:val="none" w:sz="0" w:space="0" w:color="auto"/>
            <w:right w:val="none" w:sz="0" w:space="0" w:color="auto"/>
          </w:divBdr>
        </w:div>
      </w:divsChild>
    </w:div>
    <w:div w:id="24251902">
      <w:bodyDiv w:val="1"/>
      <w:marLeft w:val="0"/>
      <w:marRight w:val="0"/>
      <w:marTop w:val="0"/>
      <w:marBottom w:val="0"/>
      <w:divBdr>
        <w:top w:val="none" w:sz="0" w:space="0" w:color="auto"/>
        <w:left w:val="none" w:sz="0" w:space="0" w:color="auto"/>
        <w:bottom w:val="none" w:sz="0" w:space="0" w:color="auto"/>
        <w:right w:val="none" w:sz="0" w:space="0" w:color="auto"/>
      </w:divBdr>
    </w:div>
    <w:div w:id="26835219">
      <w:bodyDiv w:val="1"/>
      <w:marLeft w:val="0"/>
      <w:marRight w:val="0"/>
      <w:marTop w:val="0"/>
      <w:marBottom w:val="0"/>
      <w:divBdr>
        <w:top w:val="none" w:sz="0" w:space="0" w:color="auto"/>
        <w:left w:val="none" w:sz="0" w:space="0" w:color="auto"/>
        <w:bottom w:val="none" w:sz="0" w:space="0" w:color="auto"/>
        <w:right w:val="none" w:sz="0" w:space="0" w:color="auto"/>
      </w:divBdr>
    </w:div>
    <w:div w:id="28917239">
      <w:bodyDiv w:val="1"/>
      <w:marLeft w:val="0"/>
      <w:marRight w:val="0"/>
      <w:marTop w:val="0"/>
      <w:marBottom w:val="0"/>
      <w:divBdr>
        <w:top w:val="none" w:sz="0" w:space="0" w:color="auto"/>
        <w:left w:val="none" w:sz="0" w:space="0" w:color="auto"/>
        <w:bottom w:val="none" w:sz="0" w:space="0" w:color="auto"/>
        <w:right w:val="none" w:sz="0" w:space="0" w:color="auto"/>
      </w:divBdr>
    </w:div>
    <w:div w:id="35861818">
      <w:bodyDiv w:val="1"/>
      <w:marLeft w:val="0"/>
      <w:marRight w:val="0"/>
      <w:marTop w:val="0"/>
      <w:marBottom w:val="0"/>
      <w:divBdr>
        <w:top w:val="none" w:sz="0" w:space="0" w:color="auto"/>
        <w:left w:val="none" w:sz="0" w:space="0" w:color="auto"/>
        <w:bottom w:val="none" w:sz="0" w:space="0" w:color="auto"/>
        <w:right w:val="none" w:sz="0" w:space="0" w:color="auto"/>
      </w:divBdr>
    </w:div>
    <w:div w:id="42407076">
      <w:bodyDiv w:val="1"/>
      <w:marLeft w:val="0"/>
      <w:marRight w:val="0"/>
      <w:marTop w:val="0"/>
      <w:marBottom w:val="0"/>
      <w:divBdr>
        <w:top w:val="none" w:sz="0" w:space="0" w:color="auto"/>
        <w:left w:val="none" w:sz="0" w:space="0" w:color="auto"/>
        <w:bottom w:val="none" w:sz="0" w:space="0" w:color="auto"/>
        <w:right w:val="none" w:sz="0" w:space="0" w:color="auto"/>
      </w:divBdr>
    </w:div>
    <w:div w:id="43020049">
      <w:bodyDiv w:val="1"/>
      <w:marLeft w:val="0"/>
      <w:marRight w:val="0"/>
      <w:marTop w:val="0"/>
      <w:marBottom w:val="0"/>
      <w:divBdr>
        <w:top w:val="none" w:sz="0" w:space="0" w:color="auto"/>
        <w:left w:val="none" w:sz="0" w:space="0" w:color="auto"/>
        <w:bottom w:val="none" w:sz="0" w:space="0" w:color="auto"/>
        <w:right w:val="none" w:sz="0" w:space="0" w:color="auto"/>
      </w:divBdr>
    </w:div>
    <w:div w:id="45304336">
      <w:bodyDiv w:val="1"/>
      <w:marLeft w:val="0"/>
      <w:marRight w:val="0"/>
      <w:marTop w:val="0"/>
      <w:marBottom w:val="0"/>
      <w:divBdr>
        <w:top w:val="none" w:sz="0" w:space="0" w:color="auto"/>
        <w:left w:val="none" w:sz="0" w:space="0" w:color="auto"/>
        <w:bottom w:val="none" w:sz="0" w:space="0" w:color="auto"/>
        <w:right w:val="none" w:sz="0" w:space="0" w:color="auto"/>
      </w:divBdr>
    </w:div>
    <w:div w:id="51314812">
      <w:bodyDiv w:val="1"/>
      <w:marLeft w:val="0"/>
      <w:marRight w:val="0"/>
      <w:marTop w:val="0"/>
      <w:marBottom w:val="0"/>
      <w:divBdr>
        <w:top w:val="none" w:sz="0" w:space="0" w:color="auto"/>
        <w:left w:val="none" w:sz="0" w:space="0" w:color="auto"/>
        <w:bottom w:val="none" w:sz="0" w:space="0" w:color="auto"/>
        <w:right w:val="none" w:sz="0" w:space="0" w:color="auto"/>
      </w:divBdr>
    </w:div>
    <w:div w:id="51782672">
      <w:bodyDiv w:val="1"/>
      <w:marLeft w:val="0"/>
      <w:marRight w:val="0"/>
      <w:marTop w:val="0"/>
      <w:marBottom w:val="0"/>
      <w:divBdr>
        <w:top w:val="none" w:sz="0" w:space="0" w:color="auto"/>
        <w:left w:val="none" w:sz="0" w:space="0" w:color="auto"/>
        <w:bottom w:val="none" w:sz="0" w:space="0" w:color="auto"/>
        <w:right w:val="none" w:sz="0" w:space="0" w:color="auto"/>
      </w:divBdr>
    </w:div>
    <w:div w:id="53044271">
      <w:bodyDiv w:val="1"/>
      <w:marLeft w:val="0"/>
      <w:marRight w:val="0"/>
      <w:marTop w:val="0"/>
      <w:marBottom w:val="0"/>
      <w:divBdr>
        <w:top w:val="none" w:sz="0" w:space="0" w:color="auto"/>
        <w:left w:val="none" w:sz="0" w:space="0" w:color="auto"/>
        <w:bottom w:val="none" w:sz="0" w:space="0" w:color="auto"/>
        <w:right w:val="none" w:sz="0" w:space="0" w:color="auto"/>
      </w:divBdr>
    </w:div>
    <w:div w:id="70852167">
      <w:bodyDiv w:val="1"/>
      <w:marLeft w:val="0"/>
      <w:marRight w:val="0"/>
      <w:marTop w:val="0"/>
      <w:marBottom w:val="0"/>
      <w:divBdr>
        <w:top w:val="none" w:sz="0" w:space="0" w:color="auto"/>
        <w:left w:val="none" w:sz="0" w:space="0" w:color="auto"/>
        <w:bottom w:val="none" w:sz="0" w:space="0" w:color="auto"/>
        <w:right w:val="none" w:sz="0" w:space="0" w:color="auto"/>
      </w:divBdr>
    </w:div>
    <w:div w:id="77875083">
      <w:bodyDiv w:val="1"/>
      <w:marLeft w:val="0"/>
      <w:marRight w:val="0"/>
      <w:marTop w:val="0"/>
      <w:marBottom w:val="0"/>
      <w:divBdr>
        <w:top w:val="none" w:sz="0" w:space="0" w:color="auto"/>
        <w:left w:val="none" w:sz="0" w:space="0" w:color="auto"/>
        <w:bottom w:val="none" w:sz="0" w:space="0" w:color="auto"/>
        <w:right w:val="none" w:sz="0" w:space="0" w:color="auto"/>
      </w:divBdr>
    </w:div>
    <w:div w:id="83772603">
      <w:bodyDiv w:val="1"/>
      <w:marLeft w:val="0"/>
      <w:marRight w:val="0"/>
      <w:marTop w:val="0"/>
      <w:marBottom w:val="0"/>
      <w:divBdr>
        <w:top w:val="none" w:sz="0" w:space="0" w:color="auto"/>
        <w:left w:val="none" w:sz="0" w:space="0" w:color="auto"/>
        <w:bottom w:val="none" w:sz="0" w:space="0" w:color="auto"/>
        <w:right w:val="none" w:sz="0" w:space="0" w:color="auto"/>
      </w:divBdr>
    </w:div>
    <w:div w:id="93329541">
      <w:bodyDiv w:val="1"/>
      <w:marLeft w:val="0"/>
      <w:marRight w:val="0"/>
      <w:marTop w:val="0"/>
      <w:marBottom w:val="0"/>
      <w:divBdr>
        <w:top w:val="none" w:sz="0" w:space="0" w:color="auto"/>
        <w:left w:val="none" w:sz="0" w:space="0" w:color="auto"/>
        <w:bottom w:val="none" w:sz="0" w:space="0" w:color="auto"/>
        <w:right w:val="none" w:sz="0" w:space="0" w:color="auto"/>
      </w:divBdr>
    </w:div>
    <w:div w:id="95566566">
      <w:bodyDiv w:val="1"/>
      <w:marLeft w:val="0"/>
      <w:marRight w:val="0"/>
      <w:marTop w:val="0"/>
      <w:marBottom w:val="0"/>
      <w:divBdr>
        <w:top w:val="none" w:sz="0" w:space="0" w:color="auto"/>
        <w:left w:val="none" w:sz="0" w:space="0" w:color="auto"/>
        <w:bottom w:val="none" w:sz="0" w:space="0" w:color="auto"/>
        <w:right w:val="none" w:sz="0" w:space="0" w:color="auto"/>
      </w:divBdr>
    </w:div>
    <w:div w:id="98767784">
      <w:bodyDiv w:val="1"/>
      <w:marLeft w:val="0"/>
      <w:marRight w:val="0"/>
      <w:marTop w:val="0"/>
      <w:marBottom w:val="0"/>
      <w:divBdr>
        <w:top w:val="none" w:sz="0" w:space="0" w:color="auto"/>
        <w:left w:val="none" w:sz="0" w:space="0" w:color="auto"/>
        <w:bottom w:val="none" w:sz="0" w:space="0" w:color="auto"/>
        <w:right w:val="none" w:sz="0" w:space="0" w:color="auto"/>
      </w:divBdr>
    </w:div>
    <w:div w:id="101927200">
      <w:bodyDiv w:val="1"/>
      <w:marLeft w:val="0"/>
      <w:marRight w:val="0"/>
      <w:marTop w:val="0"/>
      <w:marBottom w:val="0"/>
      <w:divBdr>
        <w:top w:val="none" w:sz="0" w:space="0" w:color="auto"/>
        <w:left w:val="none" w:sz="0" w:space="0" w:color="auto"/>
        <w:bottom w:val="none" w:sz="0" w:space="0" w:color="auto"/>
        <w:right w:val="none" w:sz="0" w:space="0" w:color="auto"/>
      </w:divBdr>
    </w:div>
    <w:div w:id="113141525">
      <w:bodyDiv w:val="1"/>
      <w:marLeft w:val="0"/>
      <w:marRight w:val="0"/>
      <w:marTop w:val="0"/>
      <w:marBottom w:val="0"/>
      <w:divBdr>
        <w:top w:val="none" w:sz="0" w:space="0" w:color="auto"/>
        <w:left w:val="none" w:sz="0" w:space="0" w:color="auto"/>
        <w:bottom w:val="none" w:sz="0" w:space="0" w:color="auto"/>
        <w:right w:val="none" w:sz="0" w:space="0" w:color="auto"/>
      </w:divBdr>
    </w:div>
    <w:div w:id="115756459">
      <w:bodyDiv w:val="1"/>
      <w:marLeft w:val="0"/>
      <w:marRight w:val="0"/>
      <w:marTop w:val="0"/>
      <w:marBottom w:val="0"/>
      <w:divBdr>
        <w:top w:val="none" w:sz="0" w:space="0" w:color="auto"/>
        <w:left w:val="none" w:sz="0" w:space="0" w:color="auto"/>
        <w:bottom w:val="none" w:sz="0" w:space="0" w:color="auto"/>
        <w:right w:val="none" w:sz="0" w:space="0" w:color="auto"/>
      </w:divBdr>
    </w:div>
    <w:div w:id="129246898">
      <w:bodyDiv w:val="1"/>
      <w:marLeft w:val="0"/>
      <w:marRight w:val="0"/>
      <w:marTop w:val="0"/>
      <w:marBottom w:val="0"/>
      <w:divBdr>
        <w:top w:val="none" w:sz="0" w:space="0" w:color="auto"/>
        <w:left w:val="none" w:sz="0" w:space="0" w:color="auto"/>
        <w:bottom w:val="none" w:sz="0" w:space="0" w:color="auto"/>
        <w:right w:val="none" w:sz="0" w:space="0" w:color="auto"/>
      </w:divBdr>
    </w:div>
    <w:div w:id="148206101">
      <w:bodyDiv w:val="1"/>
      <w:marLeft w:val="0"/>
      <w:marRight w:val="0"/>
      <w:marTop w:val="0"/>
      <w:marBottom w:val="0"/>
      <w:divBdr>
        <w:top w:val="none" w:sz="0" w:space="0" w:color="auto"/>
        <w:left w:val="none" w:sz="0" w:space="0" w:color="auto"/>
        <w:bottom w:val="none" w:sz="0" w:space="0" w:color="auto"/>
        <w:right w:val="none" w:sz="0" w:space="0" w:color="auto"/>
      </w:divBdr>
    </w:div>
    <w:div w:id="168066503">
      <w:bodyDiv w:val="1"/>
      <w:marLeft w:val="0"/>
      <w:marRight w:val="0"/>
      <w:marTop w:val="0"/>
      <w:marBottom w:val="0"/>
      <w:divBdr>
        <w:top w:val="none" w:sz="0" w:space="0" w:color="auto"/>
        <w:left w:val="none" w:sz="0" w:space="0" w:color="auto"/>
        <w:bottom w:val="none" w:sz="0" w:space="0" w:color="auto"/>
        <w:right w:val="none" w:sz="0" w:space="0" w:color="auto"/>
      </w:divBdr>
    </w:div>
    <w:div w:id="168301552">
      <w:bodyDiv w:val="1"/>
      <w:marLeft w:val="0"/>
      <w:marRight w:val="0"/>
      <w:marTop w:val="0"/>
      <w:marBottom w:val="0"/>
      <w:divBdr>
        <w:top w:val="none" w:sz="0" w:space="0" w:color="auto"/>
        <w:left w:val="none" w:sz="0" w:space="0" w:color="auto"/>
        <w:bottom w:val="none" w:sz="0" w:space="0" w:color="auto"/>
        <w:right w:val="none" w:sz="0" w:space="0" w:color="auto"/>
      </w:divBdr>
    </w:div>
    <w:div w:id="177155679">
      <w:bodyDiv w:val="1"/>
      <w:marLeft w:val="0"/>
      <w:marRight w:val="0"/>
      <w:marTop w:val="0"/>
      <w:marBottom w:val="0"/>
      <w:divBdr>
        <w:top w:val="none" w:sz="0" w:space="0" w:color="auto"/>
        <w:left w:val="none" w:sz="0" w:space="0" w:color="auto"/>
        <w:bottom w:val="none" w:sz="0" w:space="0" w:color="auto"/>
        <w:right w:val="none" w:sz="0" w:space="0" w:color="auto"/>
      </w:divBdr>
    </w:div>
    <w:div w:id="180895180">
      <w:bodyDiv w:val="1"/>
      <w:marLeft w:val="0"/>
      <w:marRight w:val="0"/>
      <w:marTop w:val="0"/>
      <w:marBottom w:val="0"/>
      <w:divBdr>
        <w:top w:val="none" w:sz="0" w:space="0" w:color="auto"/>
        <w:left w:val="none" w:sz="0" w:space="0" w:color="auto"/>
        <w:bottom w:val="none" w:sz="0" w:space="0" w:color="auto"/>
        <w:right w:val="none" w:sz="0" w:space="0" w:color="auto"/>
      </w:divBdr>
    </w:div>
    <w:div w:id="181480907">
      <w:bodyDiv w:val="1"/>
      <w:marLeft w:val="0"/>
      <w:marRight w:val="0"/>
      <w:marTop w:val="0"/>
      <w:marBottom w:val="0"/>
      <w:divBdr>
        <w:top w:val="none" w:sz="0" w:space="0" w:color="auto"/>
        <w:left w:val="none" w:sz="0" w:space="0" w:color="auto"/>
        <w:bottom w:val="none" w:sz="0" w:space="0" w:color="auto"/>
        <w:right w:val="none" w:sz="0" w:space="0" w:color="auto"/>
      </w:divBdr>
    </w:div>
    <w:div w:id="182327918">
      <w:bodyDiv w:val="1"/>
      <w:marLeft w:val="0"/>
      <w:marRight w:val="0"/>
      <w:marTop w:val="0"/>
      <w:marBottom w:val="0"/>
      <w:divBdr>
        <w:top w:val="none" w:sz="0" w:space="0" w:color="auto"/>
        <w:left w:val="none" w:sz="0" w:space="0" w:color="auto"/>
        <w:bottom w:val="none" w:sz="0" w:space="0" w:color="auto"/>
        <w:right w:val="none" w:sz="0" w:space="0" w:color="auto"/>
      </w:divBdr>
    </w:div>
    <w:div w:id="183326729">
      <w:bodyDiv w:val="1"/>
      <w:marLeft w:val="0"/>
      <w:marRight w:val="0"/>
      <w:marTop w:val="0"/>
      <w:marBottom w:val="0"/>
      <w:divBdr>
        <w:top w:val="none" w:sz="0" w:space="0" w:color="auto"/>
        <w:left w:val="none" w:sz="0" w:space="0" w:color="auto"/>
        <w:bottom w:val="none" w:sz="0" w:space="0" w:color="auto"/>
        <w:right w:val="none" w:sz="0" w:space="0" w:color="auto"/>
      </w:divBdr>
    </w:div>
    <w:div w:id="184297120">
      <w:bodyDiv w:val="1"/>
      <w:marLeft w:val="0"/>
      <w:marRight w:val="0"/>
      <w:marTop w:val="0"/>
      <w:marBottom w:val="0"/>
      <w:divBdr>
        <w:top w:val="none" w:sz="0" w:space="0" w:color="auto"/>
        <w:left w:val="none" w:sz="0" w:space="0" w:color="auto"/>
        <w:bottom w:val="none" w:sz="0" w:space="0" w:color="auto"/>
        <w:right w:val="none" w:sz="0" w:space="0" w:color="auto"/>
      </w:divBdr>
    </w:div>
    <w:div w:id="196085502">
      <w:bodyDiv w:val="1"/>
      <w:marLeft w:val="0"/>
      <w:marRight w:val="0"/>
      <w:marTop w:val="0"/>
      <w:marBottom w:val="0"/>
      <w:divBdr>
        <w:top w:val="none" w:sz="0" w:space="0" w:color="auto"/>
        <w:left w:val="none" w:sz="0" w:space="0" w:color="auto"/>
        <w:bottom w:val="none" w:sz="0" w:space="0" w:color="auto"/>
        <w:right w:val="none" w:sz="0" w:space="0" w:color="auto"/>
      </w:divBdr>
    </w:div>
    <w:div w:id="196547253">
      <w:bodyDiv w:val="1"/>
      <w:marLeft w:val="0"/>
      <w:marRight w:val="0"/>
      <w:marTop w:val="0"/>
      <w:marBottom w:val="0"/>
      <w:divBdr>
        <w:top w:val="none" w:sz="0" w:space="0" w:color="auto"/>
        <w:left w:val="none" w:sz="0" w:space="0" w:color="auto"/>
        <w:bottom w:val="none" w:sz="0" w:space="0" w:color="auto"/>
        <w:right w:val="none" w:sz="0" w:space="0" w:color="auto"/>
      </w:divBdr>
    </w:div>
    <w:div w:id="198326383">
      <w:bodyDiv w:val="1"/>
      <w:marLeft w:val="0"/>
      <w:marRight w:val="0"/>
      <w:marTop w:val="0"/>
      <w:marBottom w:val="0"/>
      <w:divBdr>
        <w:top w:val="none" w:sz="0" w:space="0" w:color="auto"/>
        <w:left w:val="none" w:sz="0" w:space="0" w:color="auto"/>
        <w:bottom w:val="none" w:sz="0" w:space="0" w:color="auto"/>
        <w:right w:val="none" w:sz="0" w:space="0" w:color="auto"/>
      </w:divBdr>
    </w:div>
    <w:div w:id="209073109">
      <w:bodyDiv w:val="1"/>
      <w:marLeft w:val="0"/>
      <w:marRight w:val="0"/>
      <w:marTop w:val="0"/>
      <w:marBottom w:val="0"/>
      <w:divBdr>
        <w:top w:val="none" w:sz="0" w:space="0" w:color="auto"/>
        <w:left w:val="none" w:sz="0" w:space="0" w:color="auto"/>
        <w:bottom w:val="none" w:sz="0" w:space="0" w:color="auto"/>
        <w:right w:val="none" w:sz="0" w:space="0" w:color="auto"/>
      </w:divBdr>
    </w:div>
    <w:div w:id="212086837">
      <w:bodyDiv w:val="1"/>
      <w:marLeft w:val="0"/>
      <w:marRight w:val="0"/>
      <w:marTop w:val="0"/>
      <w:marBottom w:val="0"/>
      <w:divBdr>
        <w:top w:val="none" w:sz="0" w:space="0" w:color="auto"/>
        <w:left w:val="none" w:sz="0" w:space="0" w:color="auto"/>
        <w:bottom w:val="none" w:sz="0" w:space="0" w:color="auto"/>
        <w:right w:val="none" w:sz="0" w:space="0" w:color="auto"/>
      </w:divBdr>
    </w:div>
    <w:div w:id="219676904">
      <w:bodyDiv w:val="1"/>
      <w:marLeft w:val="0"/>
      <w:marRight w:val="0"/>
      <w:marTop w:val="0"/>
      <w:marBottom w:val="0"/>
      <w:divBdr>
        <w:top w:val="none" w:sz="0" w:space="0" w:color="auto"/>
        <w:left w:val="none" w:sz="0" w:space="0" w:color="auto"/>
        <w:bottom w:val="none" w:sz="0" w:space="0" w:color="auto"/>
        <w:right w:val="none" w:sz="0" w:space="0" w:color="auto"/>
      </w:divBdr>
    </w:div>
    <w:div w:id="221404308">
      <w:bodyDiv w:val="1"/>
      <w:marLeft w:val="0"/>
      <w:marRight w:val="0"/>
      <w:marTop w:val="0"/>
      <w:marBottom w:val="0"/>
      <w:divBdr>
        <w:top w:val="none" w:sz="0" w:space="0" w:color="auto"/>
        <w:left w:val="none" w:sz="0" w:space="0" w:color="auto"/>
        <w:bottom w:val="none" w:sz="0" w:space="0" w:color="auto"/>
        <w:right w:val="none" w:sz="0" w:space="0" w:color="auto"/>
      </w:divBdr>
    </w:div>
    <w:div w:id="230313638">
      <w:bodyDiv w:val="1"/>
      <w:marLeft w:val="0"/>
      <w:marRight w:val="0"/>
      <w:marTop w:val="0"/>
      <w:marBottom w:val="0"/>
      <w:divBdr>
        <w:top w:val="none" w:sz="0" w:space="0" w:color="auto"/>
        <w:left w:val="none" w:sz="0" w:space="0" w:color="auto"/>
        <w:bottom w:val="none" w:sz="0" w:space="0" w:color="auto"/>
        <w:right w:val="none" w:sz="0" w:space="0" w:color="auto"/>
      </w:divBdr>
    </w:div>
    <w:div w:id="236257337">
      <w:bodyDiv w:val="1"/>
      <w:marLeft w:val="0"/>
      <w:marRight w:val="0"/>
      <w:marTop w:val="0"/>
      <w:marBottom w:val="0"/>
      <w:divBdr>
        <w:top w:val="none" w:sz="0" w:space="0" w:color="auto"/>
        <w:left w:val="none" w:sz="0" w:space="0" w:color="auto"/>
        <w:bottom w:val="none" w:sz="0" w:space="0" w:color="auto"/>
        <w:right w:val="none" w:sz="0" w:space="0" w:color="auto"/>
      </w:divBdr>
    </w:div>
    <w:div w:id="241376942">
      <w:bodyDiv w:val="1"/>
      <w:marLeft w:val="0"/>
      <w:marRight w:val="0"/>
      <w:marTop w:val="0"/>
      <w:marBottom w:val="0"/>
      <w:divBdr>
        <w:top w:val="none" w:sz="0" w:space="0" w:color="auto"/>
        <w:left w:val="none" w:sz="0" w:space="0" w:color="auto"/>
        <w:bottom w:val="none" w:sz="0" w:space="0" w:color="auto"/>
        <w:right w:val="none" w:sz="0" w:space="0" w:color="auto"/>
      </w:divBdr>
    </w:div>
    <w:div w:id="242834053">
      <w:bodyDiv w:val="1"/>
      <w:marLeft w:val="0"/>
      <w:marRight w:val="0"/>
      <w:marTop w:val="0"/>
      <w:marBottom w:val="0"/>
      <w:divBdr>
        <w:top w:val="none" w:sz="0" w:space="0" w:color="auto"/>
        <w:left w:val="none" w:sz="0" w:space="0" w:color="auto"/>
        <w:bottom w:val="none" w:sz="0" w:space="0" w:color="auto"/>
        <w:right w:val="none" w:sz="0" w:space="0" w:color="auto"/>
      </w:divBdr>
    </w:div>
    <w:div w:id="246814947">
      <w:bodyDiv w:val="1"/>
      <w:marLeft w:val="0"/>
      <w:marRight w:val="0"/>
      <w:marTop w:val="0"/>
      <w:marBottom w:val="0"/>
      <w:divBdr>
        <w:top w:val="none" w:sz="0" w:space="0" w:color="auto"/>
        <w:left w:val="none" w:sz="0" w:space="0" w:color="auto"/>
        <w:bottom w:val="none" w:sz="0" w:space="0" w:color="auto"/>
        <w:right w:val="none" w:sz="0" w:space="0" w:color="auto"/>
      </w:divBdr>
    </w:div>
    <w:div w:id="248321035">
      <w:bodyDiv w:val="1"/>
      <w:marLeft w:val="0"/>
      <w:marRight w:val="0"/>
      <w:marTop w:val="0"/>
      <w:marBottom w:val="0"/>
      <w:divBdr>
        <w:top w:val="none" w:sz="0" w:space="0" w:color="auto"/>
        <w:left w:val="none" w:sz="0" w:space="0" w:color="auto"/>
        <w:bottom w:val="none" w:sz="0" w:space="0" w:color="auto"/>
        <w:right w:val="none" w:sz="0" w:space="0" w:color="auto"/>
      </w:divBdr>
    </w:div>
    <w:div w:id="266472034">
      <w:bodyDiv w:val="1"/>
      <w:marLeft w:val="0"/>
      <w:marRight w:val="0"/>
      <w:marTop w:val="0"/>
      <w:marBottom w:val="0"/>
      <w:divBdr>
        <w:top w:val="none" w:sz="0" w:space="0" w:color="auto"/>
        <w:left w:val="none" w:sz="0" w:space="0" w:color="auto"/>
        <w:bottom w:val="none" w:sz="0" w:space="0" w:color="auto"/>
        <w:right w:val="none" w:sz="0" w:space="0" w:color="auto"/>
      </w:divBdr>
    </w:div>
    <w:div w:id="269435963">
      <w:bodyDiv w:val="1"/>
      <w:marLeft w:val="0"/>
      <w:marRight w:val="0"/>
      <w:marTop w:val="0"/>
      <w:marBottom w:val="0"/>
      <w:divBdr>
        <w:top w:val="none" w:sz="0" w:space="0" w:color="auto"/>
        <w:left w:val="none" w:sz="0" w:space="0" w:color="auto"/>
        <w:bottom w:val="none" w:sz="0" w:space="0" w:color="auto"/>
        <w:right w:val="none" w:sz="0" w:space="0" w:color="auto"/>
      </w:divBdr>
    </w:div>
    <w:div w:id="278995473">
      <w:bodyDiv w:val="1"/>
      <w:marLeft w:val="0"/>
      <w:marRight w:val="0"/>
      <w:marTop w:val="0"/>
      <w:marBottom w:val="0"/>
      <w:divBdr>
        <w:top w:val="none" w:sz="0" w:space="0" w:color="auto"/>
        <w:left w:val="none" w:sz="0" w:space="0" w:color="auto"/>
        <w:bottom w:val="none" w:sz="0" w:space="0" w:color="auto"/>
        <w:right w:val="none" w:sz="0" w:space="0" w:color="auto"/>
      </w:divBdr>
    </w:div>
    <w:div w:id="302858890">
      <w:bodyDiv w:val="1"/>
      <w:marLeft w:val="0"/>
      <w:marRight w:val="0"/>
      <w:marTop w:val="0"/>
      <w:marBottom w:val="0"/>
      <w:divBdr>
        <w:top w:val="none" w:sz="0" w:space="0" w:color="auto"/>
        <w:left w:val="none" w:sz="0" w:space="0" w:color="auto"/>
        <w:bottom w:val="none" w:sz="0" w:space="0" w:color="auto"/>
        <w:right w:val="none" w:sz="0" w:space="0" w:color="auto"/>
      </w:divBdr>
    </w:div>
    <w:div w:id="307976449">
      <w:bodyDiv w:val="1"/>
      <w:marLeft w:val="0"/>
      <w:marRight w:val="0"/>
      <w:marTop w:val="0"/>
      <w:marBottom w:val="0"/>
      <w:divBdr>
        <w:top w:val="none" w:sz="0" w:space="0" w:color="auto"/>
        <w:left w:val="none" w:sz="0" w:space="0" w:color="auto"/>
        <w:bottom w:val="none" w:sz="0" w:space="0" w:color="auto"/>
        <w:right w:val="none" w:sz="0" w:space="0" w:color="auto"/>
      </w:divBdr>
    </w:div>
    <w:div w:id="310600406">
      <w:bodyDiv w:val="1"/>
      <w:marLeft w:val="0"/>
      <w:marRight w:val="0"/>
      <w:marTop w:val="0"/>
      <w:marBottom w:val="0"/>
      <w:divBdr>
        <w:top w:val="none" w:sz="0" w:space="0" w:color="auto"/>
        <w:left w:val="none" w:sz="0" w:space="0" w:color="auto"/>
        <w:bottom w:val="none" w:sz="0" w:space="0" w:color="auto"/>
        <w:right w:val="none" w:sz="0" w:space="0" w:color="auto"/>
      </w:divBdr>
    </w:div>
    <w:div w:id="318927256">
      <w:bodyDiv w:val="1"/>
      <w:marLeft w:val="0"/>
      <w:marRight w:val="0"/>
      <w:marTop w:val="0"/>
      <w:marBottom w:val="0"/>
      <w:divBdr>
        <w:top w:val="none" w:sz="0" w:space="0" w:color="auto"/>
        <w:left w:val="none" w:sz="0" w:space="0" w:color="auto"/>
        <w:bottom w:val="none" w:sz="0" w:space="0" w:color="auto"/>
        <w:right w:val="none" w:sz="0" w:space="0" w:color="auto"/>
      </w:divBdr>
    </w:div>
    <w:div w:id="319847204">
      <w:bodyDiv w:val="1"/>
      <w:marLeft w:val="0"/>
      <w:marRight w:val="0"/>
      <w:marTop w:val="0"/>
      <w:marBottom w:val="0"/>
      <w:divBdr>
        <w:top w:val="none" w:sz="0" w:space="0" w:color="auto"/>
        <w:left w:val="none" w:sz="0" w:space="0" w:color="auto"/>
        <w:bottom w:val="none" w:sz="0" w:space="0" w:color="auto"/>
        <w:right w:val="none" w:sz="0" w:space="0" w:color="auto"/>
      </w:divBdr>
    </w:div>
    <w:div w:id="319963531">
      <w:bodyDiv w:val="1"/>
      <w:marLeft w:val="0"/>
      <w:marRight w:val="0"/>
      <w:marTop w:val="0"/>
      <w:marBottom w:val="0"/>
      <w:divBdr>
        <w:top w:val="none" w:sz="0" w:space="0" w:color="auto"/>
        <w:left w:val="none" w:sz="0" w:space="0" w:color="auto"/>
        <w:bottom w:val="none" w:sz="0" w:space="0" w:color="auto"/>
        <w:right w:val="none" w:sz="0" w:space="0" w:color="auto"/>
      </w:divBdr>
    </w:div>
    <w:div w:id="320161524">
      <w:bodyDiv w:val="1"/>
      <w:marLeft w:val="0"/>
      <w:marRight w:val="0"/>
      <w:marTop w:val="0"/>
      <w:marBottom w:val="0"/>
      <w:divBdr>
        <w:top w:val="none" w:sz="0" w:space="0" w:color="auto"/>
        <w:left w:val="none" w:sz="0" w:space="0" w:color="auto"/>
        <w:bottom w:val="none" w:sz="0" w:space="0" w:color="auto"/>
        <w:right w:val="none" w:sz="0" w:space="0" w:color="auto"/>
      </w:divBdr>
    </w:div>
    <w:div w:id="320428288">
      <w:bodyDiv w:val="1"/>
      <w:marLeft w:val="0"/>
      <w:marRight w:val="0"/>
      <w:marTop w:val="0"/>
      <w:marBottom w:val="0"/>
      <w:divBdr>
        <w:top w:val="none" w:sz="0" w:space="0" w:color="auto"/>
        <w:left w:val="none" w:sz="0" w:space="0" w:color="auto"/>
        <w:bottom w:val="none" w:sz="0" w:space="0" w:color="auto"/>
        <w:right w:val="none" w:sz="0" w:space="0" w:color="auto"/>
      </w:divBdr>
    </w:div>
    <w:div w:id="320548681">
      <w:bodyDiv w:val="1"/>
      <w:marLeft w:val="0"/>
      <w:marRight w:val="0"/>
      <w:marTop w:val="0"/>
      <w:marBottom w:val="0"/>
      <w:divBdr>
        <w:top w:val="none" w:sz="0" w:space="0" w:color="auto"/>
        <w:left w:val="none" w:sz="0" w:space="0" w:color="auto"/>
        <w:bottom w:val="none" w:sz="0" w:space="0" w:color="auto"/>
        <w:right w:val="none" w:sz="0" w:space="0" w:color="auto"/>
      </w:divBdr>
    </w:div>
    <w:div w:id="320934734">
      <w:bodyDiv w:val="1"/>
      <w:marLeft w:val="0"/>
      <w:marRight w:val="0"/>
      <w:marTop w:val="0"/>
      <w:marBottom w:val="0"/>
      <w:divBdr>
        <w:top w:val="none" w:sz="0" w:space="0" w:color="auto"/>
        <w:left w:val="none" w:sz="0" w:space="0" w:color="auto"/>
        <w:bottom w:val="none" w:sz="0" w:space="0" w:color="auto"/>
        <w:right w:val="none" w:sz="0" w:space="0" w:color="auto"/>
      </w:divBdr>
    </w:div>
    <w:div w:id="330765770">
      <w:bodyDiv w:val="1"/>
      <w:marLeft w:val="0"/>
      <w:marRight w:val="0"/>
      <w:marTop w:val="0"/>
      <w:marBottom w:val="0"/>
      <w:divBdr>
        <w:top w:val="none" w:sz="0" w:space="0" w:color="auto"/>
        <w:left w:val="none" w:sz="0" w:space="0" w:color="auto"/>
        <w:bottom w:val="none" w:sz="0" w:space="0" w:color="auto"/>
        <w:right w:val="none" w:sz="0" w:space="0" w:color="auto"/>
      </w:divBdr>
    </w:div>
    <w:div w:id="334647696">
      <w:bodyDiv w:val="1"/>
      <w:marLeft w:val="0"/>
      <w:marRight w:val="0"/>
      <w:marTop w:val="0"/>
      <w:marBottom w:val="0"/>
      <w:divBdr>
        <w:top w:val="none" w:sz="0" w:space="0" w:color="auto"/>
        <w:left w:val="none" w:sz="0" w:space="0" w:color="auto"/>
        <w:bottom w:val="none" w:sz="0" w:space="0" w:color="auto"/>
        <w:right w:val="none" w:sz="0" w:space="0" w:color="auto"/>
      </w:divBdr>
    </w:div>
    <w:div w:id="340007713">
      <w:bodyDiv w:val="1"/>
      <w:marLeft w:val="0"/>
      <w:marRight w:val="0"/>
      <w:marTop w:val="0"/>
      <w:marBottom w:val="0"/>
      <w:divBdr>
        <w:top w:val="none" w:sz="0" w:space="0" w:color="auto"/>
        <w:left w:val="none" w:sz="0" w:space="0" w:color="auto"/>
        <w:bottom w:val="none" w:sz="0" w:space="0" w:color="auto"/>
        <w:right w:val="none" w:sz="0" w:space="0" w:color="auto"/>
      </w:divBdr>
    </w:div>
    <w:div w:id="347678005">
      <w:bodyDiv w:val="1"/>
      <w:marLeft w:val="0"/>
      <w:marRight w:val="0"/>
      <w:marTop w:val="0"/>
      <w:marBottom w:val="0"/>
      <w:divBdr>
        <w:top w:val="none" w:sz="0" w:space="0" w:color="auto"/>
        <w:left w:val="none" w:sz="0" w:space="0" w:color="auto"/>
        <w:bottom w:val="none" w:sz="0" w:space="0" w:color="auto"/>
        <w:right w:val="none" w:sz="0" w:space="0" w:color="auto"/>
      </w:divBdr>
    </w:div>
    <w:div w:id="348411818">
      <w:bodyDiv w:val="1"/>
      <w:marLeft w:val="0"/>
      <w:marRight w:val="0"/>
      <w:marTop w:val="0"/>
      <w:marBottom w:val="0"/>
      <w:divBdr>
        <w:top w:val="none" w:sz="0" w:space="0" w:color="auto"/>
        <w:left w:val="none" w:sz="0" w:space="0" w:color="auto"/>
        <w:bottom w:val="none" w:sz="0" w:space="0" w:color="auto"/>
        <w:right w:val="none" w:sz="0" w:space="0" w:color="auto"/>
      </w:divBdr>
    </w:div>
    <w:div w:id="351305406">
      <w:bodyDiv w:val="1"/>
      <w:marLeft w:val="0"/>
      <w:marRight w:val="0"/>
      <w:marTop w:val="0"/>
      <w:marBottom w:val="0"/>
      <w:divBdr>
        <w:top w:val="none" w:sz="0" w:space="0" w:color="auto"/>
        <w:left w:val="none" w:sz="0" w:space="0" w:color="auto"/>
        <w:bottom w:val="none" w:sz="0" w:space="0" w:color="auto"/>
        <w:right w:val="none" w:sz="0" w:space="0" w:color="auto"/>
      </w:divBdr>
    </w:div>
    <w:div w:id="356850573">
      <w:bodyDiv w:val="1"/>
      <w:marLeft w:val="0"/>
      <w:marRight w:val="0"/>
      <w:marTop w:val="0"/>
      <w:marBottom w:val="0"/>
      <w:divBdr>
        <w:top w:val="none" w:sz="0" w:space="0" w:color="auto"/>
        <w:left w:val="none" w:sz="0" w:space="0" w:color="auto"/>
        <w:bottom w:val="none" w:sz="0" w:space="0" w:color="auto"/>
        <w:right w:val="none" w:sz="0" w:space="0" w:color="auto"/>
      </w:divBdr>
    </w:div>
    <w:div w:id="362098361">
      <w:bodyDiv w:val="1"/>
      <w:marLeft w:val="0"/>
      <w:marRight w:val="0"/>
      <w:marTop w:val="0"/>
      <w:marBottom w:val="0"/>
      <w:divBdr>
        <w:top w:val="none" w:sz="0" w:space="0" w:color="auto"/>
        <w:left w:val="none" w:sz="0" w:space="0" w:color="auto"/>
        <w:bottom w:val="none" w:sz="0" w:space="0" w:color="auto"/>
        <w:right w:val="none" w:sz="0" w:space="0" w:color="auto"/>
      </w:divBdr>
    </w:div>
    <w:div w:id="362487103">
      <w:bodyDiv w:val="1"/>
      <w:marLeft w:val="0"/>
      <w:marRight w:val="0"/>
      <w:marTop w:val="0"/>
      <w:marBottom w:val="0"/>
      <w:divBdr>
        <w:top w:val="none" w:sz="0" w:space="0" w:color="auto"/>
        <w:left w:val="none" w:sz="0" w:space="0" w:color="auto"/>
        <w:bottom w:val="none" w:sz="0" w:space="0" w:color="auto"/>
        <w:right w:val="none" w:sz="0" w:space="0" w:color="auto"/>
      </w:divBdr>
    </w:div>
    <w:div w:id="363411834">
      <w:bodyDiv w:val="1"/>
      <w:marLeft w:val="0"/>
      <w:marRight w:val="0"/>
      <w:marTop w:val="0"/>
      <w:marBottom w:val="0"/>
      <w:divBdr>
        <w:top w:val="none" w:sz="0" w:space="0" w:color="auto"/>
        <w:left w:val="none" w:sz="0" w:space="0" w:color="auto"/>
        <w:bottom w:val="none" w:sz="0" w:space="0" w:color="auto"/>
        <w:right w:val="none" w:sz="0" w:space="0" w:color="auto"/>
      </w:divBdr>
    </w:div>
    <w:div w:id="370737743">
      <w:bodyDiv w:val="1"/>
      <w:marLeft w:val="0"/>
      <w:marRight w:val="0"/>
      <w:marTop w:val="0"/>
      <w:marBottom w:val="0"/>
      <w:divBdr>
        <w:top w:val="none" w:sz="0" w:space="0" w:color="auto"/>
        <w:left w:val="none" w:sz="0" w:space="0" w:color="auto"/>
        <w:bottom w:val="none" w:sz="0" w:space="0" w:color="auto"/>
        <w:right w:val="none" w:sz="0" w:space="0" w:color="auto"/>
      </w:divBdr>
    </w:div>
    <w:div w:id="372118802">
      <w:bodyDiv w:val="1"/>
      <w:marLeft w:val="0"/>
      <w:marRight w:val="0"/>
      <w:marTop w:val="0"/>
      <w:marBottom w:val="0"/>
      <w:divBdr>
        <w:top w:val="none" w:sz="0" w:space="0" w:color="auto"/>
        <w:left w:val="none" w:sz="0" w:space="0" w:color="auto"/>
        <w:bottom w:val="none" w:sz="0" w:space="0" w:color="auto"/>
        <w:right w:val="none" w:sz="0" w:space="0" w:color="auto"/>
      </w:divBdr>
    </w:div>
    <w:div w:id="373579769">
      <w:bodyDiv w:val="1"/>
      <w:marLeft w:val="0"/>
      <w:marRight w:val="0"/>
      <w:marTop w:val="0"/>
      <w:marBottom w:val="0"/>
      <w:divBdr>
        <w:top w:val="none" w:sz="0" w:space="0" w:color="auto"/>
        <w:left w:val="none" w:sz="0" w:space="0" w:color="auto"/>
        <w:bottom w:val="none" w:sz="0" w:space="0" w:color="auto"/>
        <w:right w:val="none" w:sz="0" w:space="0" w:color="auto"/>
      </w:divBdr>
    </w:div>
    <w:div w:id="373651213">
      <w:bodyDiv w:val="1"/>
      <w:marLeft w:val="0"/>
      <w:marRight w:val="0"/>
      <w:marTop w:val="0"/>
      <w:marBottom w:val="0"/>
      <w:divBdr>
        <w:top w:val="none" w:sz="0" w:space="0" w:color="auto"/>
        <w:left w:val="none" w:sz="0" w:space="0" w:color="auto"/>
        <w:bottom w:val="none" w:sz="0" w:space="0" w:color="auto"/>
        <w:right w:val="none" w:sz="0" w:space="0" w:color="auto"/>
      </w:divBdr>
    </w:div>
    <w:div w:id="375355426">
      <w:bodyDiv w:val="1"/>
      <w:marLeft w:val="0"/>
      <w:marRight w:val="0"/>
      <w:marTop w:val="0"/>
      <w:marBottom w:val="0"/>
      <w:divBdr>
        <w:top w:val="none" w:sz="0" w:space="0" w:color="auto"/>
        <w:left w:val="none" w:sz="0" w:space="0" w:color="auto"/>
        <w:bottom w:val="none" w:sz="0" w:space="0" w:color="auto"/>
        <w:right w:val="none" w:sz="0" w:space="0" w:color="auto"/>
      </w:divBdr>
    </w:div>
    <w:div w:id="376903392">
      <w:bodyDiv w:val="1"/>
      <w:marLeft w:val="0"/>
      <w:marRight w:val="0"/>
      <w:marTop w:val="0"/>
      <w:marBottom w:val="0"/>
      <w:divBdr>
        <w:top w:val="none" w:sz="0" w:space="0" w:color="auto"/>
        <w:left w:val="none" w:sz="0" w:space="0" w:color="auto"/>
        <w:bottom w:val="none" w:sz="0" w:space="0" w:color="auto"/>
        <w:right w:val="none" w:sz="0" w:space="0" w:color="auto"/>
      </w:divBdr>
    </w:div>
    <w:div w:id="383990776">
      <w:bodyDiv w:val="1"/>
      <w:marLeft w:val="0"/>
      <w:marRight w:val="0"/>
      <w:marTop w:val="0"/>
      <w:marBottom w:val="0"/>
      <w:divBdr>
        <w:top w:val="none" w:sz="0" w:space="0" w:color="auto"/>
        <w:left w:val="none" w:sz="0" w:space="0" w:color="auto"/>
        <w:bottom w:val="none" w:sz="0" w:space="0" w:color="auto"/>
        <w:right w:val="none" w:sz="0" w:space="0" w:color="auto"/>
      </w:divBdr>
    </w:div>
    <w:div w:id="386495739">
      <w:bodyDiv w:val="1"/>
      <w:marLeft w:val="0"/>
      <w:marRight w:val="0"/>
      <w:marTop w:val="0"/>
      <w:marBottom w:val="0"/>
      <w:divBdr>
        <w:top w:val="none" w:sz="0" w:space="0" w:color="auto"/>
        <w:left w:val="none" w:sz="0" w:space="0" w:color="auto"/>
        <w:bottom w:val="none" w:sz="0" w:space="0" w:color="auto"/>
        <w:right w:val="none" w:sz="0" w:space="0" w:color="auto"/>
      </w:divBdr>
    </w:div>
    <w:div w:id="392199196">
      <w:bodyDiv w:val="1"/>
      <w:marLeft w:val="0"/>
      <w:marRight w:val="0"/>
      <w:marTop w:val="0"/>
      <w:marBottom w:val="0"/>
      <w:divBdr>
        <w:top w:val="none" w:sz="0" w:space="0" w:color="auto"/>
        <w:left w:val="none" w:sz="0" w:space="0" w:color="auto"/>
        <w:bottom w:val="none" w:sz="0" w:space="0" w:color="auto"/>
        <w:right w:val="none" w:sz="0" w:space="0" w:color="auto"/>
      </w:divBdr>
    </w:div>
    <w:div w:id="396978457">
      <w:bodyDiv w:val="1"/>
      <w:marLeft w:val="0"/>
      <w:marRight w:val="0"/>
      <w:marTop w:val="0"/>
      <w:marBottom w:val="0"/>
      <w:divBdr>
        <w:top w:val="none" w:sz="0" w:space="0" w:color="auto"/>
        <w:left w:val="none" w:sz="0" w:space="0" w:color="auto"/>
        <w:bottom w:val="none" w:sz="0" w:space="0" w:color="auto"/>
        <w:right w:val="none" w:sz="0" w:space="0" w:color="auto"/>
      </w:divBdr>
    </w:div>
    <w:div w:id="407583496">
      <w:bodyDiv w:val="1"/>
      <w:marLeft w:val="0"/>
      <w:marRight w:val="0"/>
      <w:marTop w:val="0"/>
      <w:marBottom w:val="0"/>
      <w:divBdr>
        <w:top w:val="none" w:sz="0" w:space="0" w:color="auto"/>
        <w:left w:val="none" w:sz="0" w:space="0" w:color="auto"/>
        <w:bottom w:val="none" w:sz="0" w:space="0" w:color="auto"/>
        <w:right w:val="none" w:sz="0" w:space="0" w:color="auto"/>
      </w:divBdr>
    </w:div>
    <w:div w:id="409432066">
      <w:bodyDiv w:val="1"/>
      <w:marLeft w:val="0"/>
      <w:marRight w:val="0"/>
      <w:marTop w:val="0"/>
      <w:marBottom w:val="0"/>
      <w:divBdr>
        <w:top w:val="none" w:sz="0" w:space="0" w:color="auto"/>
        <w:left w:val="none" w:sz="0" w:space="0" w:color="auto"/>
        <w:bottom w:val="none" w:sz="0" w:space="0" w:color="auto"/>
        <w:right w:val="none" w:sz="0" w:space="0" w:color="auto"/>
      </w:divBdr>
    </w:div>
    <w:div w:id="418983582">
      <w:bodyDiv w:val="1"/>
      <w:marLeft w:val="0"/>
      <w:marRight w:val="0"/>
      <w:marTop w:val="0"/>
      <w:marBottom w:val="0"/>
      <w:divBdr>
        <w:top w:val="none" w:sz="0" w:space="0" w:color="auto"/>
        <w:left w:val="none" w:sz="0" w:space="0" w:color="auto"/>
        <w:bottom w:val="none" w:sz="0" w:space="0" w:color="auto"/>
        <w:right w:val="none" w:sz="0" w:space="0" w:color="auto"/>
      </w:divBdr>
    </w:div>
    <w:div w:id="423191662">
      <w:bodyDiv w:val="1"/>
      <w:marLeft w:val="0"/>
      <w:marRight w:val="0"/>
      <w:marTop w:val="0"/>
      <w:marBottom w:val="0"/>
      <w:divBdr>
        <w:top w:val="none" w:sz="0" w:space="0" w:color="auto"/>
        <w:left w:val="none" w:sz="0" w:space="0" w:color="auto"/>
        <w:bottom w:val="none" w:sz="0" w:space="0" w:color="auto"/>
        <w:right w:val="none" w:sz="0" w:space="0" w:color="auto"/>
      </w:divBdr>
    </w:div>
    <w:div w:id="428164521">
      <w:bodyDiv w:val="1"/>
      <w:marLeft w:val="0"/>
      <w:marRight w:val="0"/>
      <w:marTop w:val="0"/>
      <w:marBottom w:val="0"/>
      <w:divBdr>
        <w:top w:val="none" w:sz="0" w:space="0" w:color="auto"/>
        <w:left w:val="none" w:sz="0" w:space="0" w:color="auto"/>
        <w:bottom w:val="none" w:sz="0" w:space="0" w:color="auto"/>
        <w:right w:val="none" w:sz="0" w:space="0" w:color="auto"/>
      </w:divBdr>
    </w:div>
    <w:div w:id="436369278">
      <w:bodyDiv w:val="1"/>
      <w:marLeft w:val="0"/>
      <w:marRight w:val="0"/>
      <w:marTop w:val="0"/>
      <w:marBottom w:val="0"/>
      <w:divBdr>
        <w:top w:val="none" w:sz="0" w:space="0" w:color="auto"/>
        <w:left w:val="none" w:sz="0" w:space="0" w:color="auto"/>
        <w:bottom w:val="none" w:sz="0" w:space="0" w:color="auto"/>
        <w:right w:val="none" w:sz="0" w:space="0" w:color="auto"/>
      </w:divBdr>
    </w:div>
    <w:div w:id="438254634">
      <w:bodyDiv w:val="1"/>
      <w:marLeft w:val="0"/>
      <w:marRight w:val="0"/>
      <w:marTop w:val="0"/>
      <w:marBottom w:val="0"/>
      <w:divBdr>
        <w:top w:val="none" w:sz="0" w:space="0" w:color="auto"/>
        <w:left w:val="none" w:sz="0" w:space="0" w:color="auto"/>
        <w:bottom w:val="none" w:sz="0" w:space="0" w:color="auto"/>
        <w:right w:val="none" w:sz="0" w:space="0" w:color="auto"/>
      </w:divBdr>
    </w:div>
    <w:div w:id="438260944">
      <w:bodyDiv w:val="1"/>
      <w:marLeft w:val="0"/>
      <w:marRight w:val="0"/>
      <w:marTop w:val="0"/>
      <w:marBottom w:val="0"/>
      <w:divBdr>
        <w:top w:val="none" w:sz="0" w:space="0" w:color="auto"/>
        <w:left w:val="none" w:sz="0" w:space="0" w:color="auto"/>
        <w:bottom w:val="none" w:sz="0" w:space="0" w:color="auto"/>
        <w:right w:val="none" w:sz="0" w:space="0" w:color="auto"/>
      </w:divBdr>
    </w:div>
    <w:div w:id="438647495">
      <w:bodyDiv w:val="1"/>
      <w:marLeft w:val="0"/>
      <w:marRight w:val="0"/>
      <w:marTop w:val="0"/>
      <w:marBottom w:val="0"/>
      <w:divBdr>
        <w:top w:val="none" w:sz="0" w:space="0" w:color="auto"/>
        <w:left w:val="none" w:sz="0" w:space="0" w:color="auto"/>
        <w:bottom w:val="none" w:sz="0" w:space="0" w:color="auto"/>
        <w:right w:val="none" w:sz="0" w:space="0" w:color="auto"/>
      </w:divBdr>
    </w:div>
    <w:div w:id="440801754">
      <w:bodyDiv w:val="1"/>
      <w:marLeft w:val="0"/>
      <w:marRight w:val="0"/>
      <w:marTop w:val="0"/>
      <w:marBottom w:val="0"/>
      <w:divBdr>
        <w:top w:val="none" w:sz="0" w:space="0" w:color="auto"/>
        <w:left w:val="none" w:sz="0" w:space="0" w:color="auto"/>
        <w:bottom w:val="none" w:sz="0" w:space="0" w:color="auto"/>
        <w:right w:val="none" w:sz="0" w:space="0" w:color="auto"/>
      </w:divBdr>
    </w:div>
    <w:div w:id="442770447">
      <w:bodyDiv w:val="1"/>
      <w:marLeft w:val="0"/>
      <w:marRight w:val="0"/>
      <w:marTop w:val="0"/>
      <w:marBottom w:val="0"/>
      <w:divBdr>
        <w:top w:val="none" w:sz="0" w:space="0" w:color="auto"/>
        <w:left w:val="none" w:sz="0" w:space="0" w:color="auto"/>
        <w:bottom w:val="none" w:sz="0" w:space="0" w:color="auto"/>
        <w:right w:val="none" w:sz="0" w:space="0" w:color="auto"/>
      </w:divBdr>
    </w:div>
    <w:div w:id="443576138">
      <w:bodyDiv w:val="1"/>
      <w:marLeft w:val="0"/>
      <w:marRight w:val="0"/>
      <w:marTop w:val="0"/>
      <w:marBottom w:val="0"/>
      <w:divBdr>
        <w:top w:val="none" w:sz="0" w:space="0" w:color="auto"/>
        <w:left w:val="none" w:sz="0" w:space="0" w:color="auto"/>
        <w:bottom w:val="none" w:sz="0" w:space="0" w:color="auto"/>
        <w:right w:val="none" w:sz="0" w:space="0" w:color="auto"/>
      </w:divBdr>
    </w:div>
    <w:div w:id="449085145">
      <w:bodyDiv w:val="1"/>
      <w:marLeft w:val="0"/>
      <w:marRight w:val="0"/>
      <w:marTop w:val="0"/>
      <w:marBottom w:val="0"/>
      <w:divBdr>
        <w:top w:val="none" w:sz="0" w:space="0" w:color="auto"/>
        <w:left w:val="none" w:sz="0" w:space="0" w:color="auto"/>
        <w:bottom w:val="none" w:sz="0" w:space="0" w:color="auto"/>
        <w:right w:val="none" w:sz="0" w:space="0" w:color="auto"/>
      </w:divBdr>
    </w:div>
    <w:div w:id="450167896">
      <w:bodyDiv w:val="1"/>
      <w:marLeft w:val="0"/>
      <w:marRight w:val="0"/>
      <w:marTop w:val="0"/>
      <w:marBottom w:val="0"/>
      <w:divBdr>
        <w:top w:val="none" w:sz="0" w:space="0" w:color="auto"/>
        <w:left w:val="none" w:sz="0" w:space="0" w:color="auto"/>
        <w:bottom w:val="none" w:sz="0" w:space="0" w:color="auto"/>
        <w:right w:val="none" w:sz="0" w:space="0" w:color="auto"/>
      </w:divBdr>
    </w:div>
    <w:div w:id="455292340">
      <w:bodyDiv w:val="1"/>
      <w:marLeft w:val="0"/>
      <w:marRight w:val="0"/>
      <w:marTop w:val="0"/>
      <w:marBottom w:val="0"/>
      <w:divBdr>
        <w:top w:val="none" w:sz="0" w:space="0" w:color="auto"/>
        <w:left w:val="none" w:sz="0" w:space="0" w:color="auto"/>
        <w:bottom w:val="none" w:sz="0" w:space="0" w:color="auto"/>
        <w:right w:val="none" w:sz="0" w:space="0" w:color="auto"/>
      </w:divBdr>
    </w:div>
    <w:div w:id="457801036">
      <w:bodyDiv w:val="1"/>
      <w:marLeft w:val="0"/>
      <w:marRight w:val="0"/>
      <w:marTop w:val="0"/>
      <w:marBottom w:val="0"/>
      <w:divBdr>
        <w:top w:val="none" w:sz="0" w:space="0" w:color="auto"/>
        <w:left w:val="none" w:sz="0" w:space="0" w:color="auto"/>
        <w:bottom w:val="none" w:sz="0" w:space="0" w:color="auto"/>
        <w:right w:val="none" w:sz="0" w:space="0" w:color="auto"/>
      </w:divBdr>
    </w:div>
    <w:div w:id="465977569">
      <w:bodyDiv w:val="1"/>
      <w:marLeft w:val="0"/>
      <w:marRight w:val="0"/>
      <w:marTop w:val="0"/>
      <w:marBottom w:val="0"/>
      <w:divBdr>
        <w:top w:val="none" w:sz="0" w:space="0" w:color="auto"/>
        <w:left w:val="none" w:sz="0" w:space="0" w:color="auto"/>
        <w:bottom w:val="none" w:sz="0" w:space="0" w:color="auto"/>
        <w:right w:val="none" w:sz="0" w:space="0" w:color="auto"/>
      </w:divBdr>
    </w:div>
    <w:div w:id="468281509">
      <w:bodyDiv w:val="1"/>
      <w:marLeft w:val="0"/>
      <w:marRight w:val="0"/>
      <w:marTop w:val="0"/>
      <w:marBottom w:val="0"/>
      <w:divBdr>
        <w:top w:val="none" w:sz="0" w:space="0" w:color="auto"/>
        <w:left w:val="none" w:sz="0" w:space="0" w:color="auto"/>
        <w:bottom w:val="none" w:sz="0" w:space="0" w:color="auto"/>
        <w:right w:val="none" w:sz="0" w:space="0" w:color="auto"/>
      </w:divBdr>
    </w:div>
    <w:div w:id="468941512">
      <w:bodyDiv w:val="1"/>
      <w:marLeft w:val="0"/>
      <w:marRight w:val="0"/>
      <w:marTop w:val="0"/>
      <w:marBottom w:val="0"/>
      <w:divBdr>
        <w:top w:val="none" w:sz="0" w:space="0" w:color="auto"/>
        <w:left w:val="none" w:sz="0" w:space="0" w:color="auto"/>
        <w:bottom w:val="none" w:sz="0" w:space="0" w:color="auto"/>
        <w:right w:val="none" w:sz="0" w:space="0" w:color="auto"/>
      </w:divBdr>
    </w:div>
    <w:div w:id="471942598">
      <w:bodyDiv w:val="1"/>
      <w:marLeft w:val="0"/>
      <w:marRight w:val="0"/>
      <w:marTop w:val="0"/>
      <w:marBottom w:val="0"/>
      <w:divBdr>
        <w:top w:val="none" w:sz="0" w:space="0" w:color="auto"/>
        <w:left w:val="none" w:sz="0" w:space="0" w:color="auto"/>
        <w:bottom w:val="none" w:sz="0" w:space="0" w:color="auto"/>
        <w:right w:val="none" w:sz="0" w:space="0" w:color="auto"/>
      </w:divBdr>
    </w:div>
    <w:div w:id="475031588">
      <w:bodyDiv w:val="1"/>
      <w:marLeft w:val="0"/>
      <w:marRight w:val="0"/>
      <w:marTop w:val="0"/>
      <w:marBottom w:val="0"/>
      <w:divBdr>
        <w:top w:val="none" w:sz="0" w:space="0" w:color="auto"/>
        <w:left w:val="none" w:sz="0" w:space="0" w:color="auto"/>
        <w:bottom w:val="none" w:sz="0" w:space="0" w:color="auto"/>
        <w:right w:val="none" w:sz="0" w:space="0" w:color="auto"/>
      </w:divBdr>
    </w:div>
    <w:div w:id="476381642">
      <w:bodyDiv w:val="1"/>
      <w:marLeft w:val="0"/>
      <w:marRight w:val="0"/>
      <w:marTop w:val="0"/>
      <w:marBottom w:val="0"/>
      <w:divBdr>
        <w:top w:val="none" w:sz="0" w:space="0" w:color="auto"/>
        <w:left w:val="none" w:sz="0" w:space="0" w:color="auto"/>
        <w:bottom w:val="none" w:sz="0" w:space="0" w:color="auto"/>
        <w:right w:val="none" w:sz="0" w:space="0" w:color="auto"/>
      </w:divBdr>
    </w:div>
    <w:div w:id="477459413">
      <w:bodyDiv w:val="1"/>
      <w:marLeft w:val="0"/>
      <w:marRight w:val="0"/>
      <w:marTop w:val="0"/>
      <w:marBottom w:val="0"/>
      <w:divBdr>
        <w:top w:val="none" w:sz="0" w:space="0" w:color="auto"/>
        <w:left w:val="none" w:sz="0" w:space="0" w:color="auto"/>
        <w:bottom w:val="none" w:sz="0" w:space="0" w:color="auto"/>
        <w:right w:val="none" w:sz="0" w:space="0" w:color="auto"/>
      </w:divBdr>
    </w:div>
    <w:div w:id="480345858">
      <w:bodyDiv w:val="1"/>
      <w:marLeft w:val="0"/>
      <w:marRight w:val="0"/>
      <w:marTop w:val="0"/>
      <w:marBottom w:val="0"/>
      <w:divBdr>
        <w:top w:val="none" w:sz="0" w:space="0" w:color="auto"/>
        <w:left w:val="none" w:sz="0" w:space="0" w:color="auto"/>
        <w:bottom w:val="none" w:sz="0" w:space="0" w:color="auto"/>
        <w:right w:val="none" w:sz="0" w:space="0" w:color="auto"/>
      </w:divBdr>
    </w:div>
    <w:div w:id="483787056">
      <w:bodyDiv w:val="1"/>
      <w:marLeft w:val="0"/>
      <w:marRight w:val="0"/>
      <w:marTop w:val="0"/>
      <w:marBottom w:val="0"/>
      <w:divBdr>
        <w:top w:val="none" w:sz="0" w:space="0" w:color="auto"/>
        <w:left w:val="none" w:sz="0" w:space="0" w:color="auto"/>
        <w:bottom w:val="none" w:sz="0" w:space="0" w:color="auto"/>
        <w:right w:val="none" w:sz="0" w:space="0" w:color="auto"/>
      </w:divBdr>
    </w:div>
    <w:div w:id="486484054">
      <w:bodyDiv w:val="1"/>
      <w:marLeft w:val="0"/>
      <w:marRight w:val="0"/>
      <w:marTop w:val="0"/>
      <w:marBottom w:val="0"/>
      <w:divBdr>
        <w:top w:val="none" w:sz="0" w:space="0" w:color="auto"/>
        <w:left w:val="none" w:sz="0" w:space="0" w:color="auto"/>
        <w:bottom w:val="none" w:sz="0" w:space="0" w:color="auto"/>
        <w:right w:val="none" w:sz="0" w:space="0" w:color="auto"/>
      </w:divBdr>
    </w:div>
    <w:div w:id="488979800">
      <w:bodyDiv w:val="1"/>
      <w:marLeft w:val="0"/>
      <w:marRight w:val="0"/>
      <w:marTop w:val="0"/>
      <w:marBottom w:val="0"/>
      <w:divBdr>
        <w:top w:val="none" w:sz="0" w:space="0" w:color="auto"/>
        <w:left w:val="none" w:sz="0" w:space="0" w:color="auto"/>
        <w:bottom w:val="none" w:sz="0" w:space="0" w:color="auto"/>
        <w:right w:val="none" w:sz="0" w:space="0" w:color="auto"/>
      </w:divBdr>
    </w:div>
    <w:div w:id="494418124">
      <w:bodyDiv w:val="1"/>
      <w:marLeft w:val="0"/>
      <w:marRight w:val="0"/>
      <w:marTop w:val="0"/>
      <w:marBottom w:val="0"/>
      <w:divBdr>
        <w:top w:val="none" w:sz="0" w:space="0" w:color="auto"/>
        <w:left w:val="none" w:sz="0" w:space="0" w:color="auto"/>
        <w:bottom w:val="none" w:sz="0" w:space="0" w:color="auto"/>
        <w:right w:val="none" w:sz="0" w:space="0" w:color="auto"/>
      </w:divBdr>
    </w:div>
    <w:div w:id="497505450">
      <w:bodyDiv w:val="1"/>
      <w:marLeft w:val="0"/>
      <w:marRight w:val="0"/>
      <w:marTop w:val="0"/>
      <w:marBottom w:val="0"/>
      <w:divBdr>
        <w:top w:val="none" w:sz="0" w:space="0" w:color="auto"/>
        <w:left w:val="none" w:sz="0" w:space="0" w:color="auto"/>
        <w:bottom w:val="none" w:sz="0" w:space="0" w:color="auto"/>
        <w:right w:val="none" w:sz="0" w:space="0" w:color="auto"/>
      </w:divBdr>
    </w:div>
    <w:div w:id="501506903">
      <w:bodyDiv w:val="1"/>
      <w:marLeft w:val="0"/>
      <w:marRight w:val="0"/>
      <w:marTop w:val="0"/>
      <w:marBottom w:val="0"/>
      <w:divBdr>
        <w:top w:val="none" w:sz="0" w:space="0" w:color="auto"/>
        <w:left w:val="none" w:sz="0" w:space="0" w:color="auto"/>
        <w:bottom w:val="none" w:sz="0" w:space="0" w:color="auto"/>
        <w:right w:val="none" w:sz="0" w:space="0" w:color="auto"/>
      </w:divBdr>
    </w:div>
    <w:div w:id="503057244">
      <w:bodyDiv w:val="1"/>
      <w:marLeft w:val="0"/>
      <w:marRight w:val="0"/>
      <w:marTop w:val="0"/>
      <w:marBottom w:val="0"/>
      <w:divBdr>
        <w:top w:val="none" w:sz="0" w:space="0" w:color="auto"/>
        <w:left w:val="none" w:sz="0" w:space="0" w:color="auto"/>
        <w:bottom w:val="none" w:sz="0" w:space="0" w:color="auto"/>
        <w:right w:val="none" w:sz="0" w:space="0" w:color="auto"/>
      </w:divBdr>
    </w:div>
    <w:div w:id="506405579">
      <w:bodyDiv w:val="1"/>
      <w:marLeft w:val="0"/>
      <w:marRight w:val="0"/>
      <w:marTop w:val="0"/>
      <w:marBottom w:val="0"/>
      <w:divBdr>
        <w:top w:val="none" w:sz="0" w:space="0" w:color="auto"/>
        <w:left w:val="none" w:sz="0" w:space="0" w:color="auto"/>
        <w:bottom w:val="none" w:sz="0" w:space="0" w:color="auto"/>
        <w:right w:val="none" w:sz="0" w:space="0" w:color="auto"/>
      </w:divBdr>
    </w:div>
    <w:div w:id="508561603">
      <w:bodyDiv w:val="1"/>
      <w:marLeft w:val="0"/>
      <w:marRight w:val="0"/>
      <w:marTop w:val="0"/>
      <w:marBottom w:val="0"/>
      <w:divBdr>
        <w:top w:val="none" w:sz="0" w:space="0" w:color="auto"/>
        <w:left w:val="none" w:sz="0" w:space="0" w:color="auto"/>
        <w:bottom w:val="none" w:sz="0" w:space="0" w:color="auto"/>
        <w:right w:val="none" w:sz="0" w:space="0" w:color="auto"/>
      </w:divBdr>
    </w:div>
    <w:div w:id="517039350">
      <w:bodyDiv w:val="1"/>
      <w:marLeft w:val="0"/>
      <w:marRight w:val="0"/>
      <w:marTop w:val="0"/>
      <w:marBottom w:val="0"/>
      <w:divBdr>
        <w:top w:val="none" w:sz="0" w:space="0" w:color="auto"/>
        <w:left w:val="none" w:sz="0" w:space="0" w:color="auto"/>
        <w:bottom w:val="none" w:sz="0" w:space="0" w:color="auto"/>
        <w:right w:val="none" w:sz="0" w:space="0" w:color="auto"/>
      </w:divBdr>
    </w:div>
    <w:div w:id="519507791">
      <w:bodyDiv w:val="1"/>
      <w:marLeft w:val="0"/>
      <w:marRight w:val="0"/>
      <w:marTop w:val="0"/>
      <w:marBottom w:val="0"/>
      <w:divBdr>
        <w:top w:val="none" w:sz="0" w:space="0" w:color="auto"/>
        <w:left w:val="none" w:sz="0" w:space="0" w:color="auto"/>
        <w:bottom w:val="none" w:sz="0" w:space="0" w:color="auto"/>
        <w:right w:val="none" w:sz="0" w:space="0" w:color="auto"/>
      </w:divBdr>
    </w:div>
    <w:div w:id="528953857">
      <w:bodyDiv w:val="1"/>
      <w:marLeft w:val="0"/>
      <w:marRight w:val="0"/>
      <w:marTop w:val="0"/>
      <w:marBottom w:val="0"/>
      <w:divBdr>
        <w:top w:val="none" w:sz="0" w:space="0" w:color="auto"/>
        <w:left w:val="none" w:sz="0" w:space="0" w:color="auto"/>
        <w:bottom w:val="none" w:sz="0" w:space="0" w:color="auto"/>
        <w:right w:val="none" w:sz="0" w:space="0" w:color="auto"/>
      </w:divBdr>
    </w:div>
    <w:div w:id="529956624">
      <w:bodyDiv w:val="1"/>
      <w:marLeft w:val="0"/>
      <w:marRight w:val="0"/>
      <w:marTop w:val="0"/>
      <w:marBottom w:val="0"/>
      <w:divBdr>
        <w:top w:val="none" w:sz="0" w:space="0" w:color="auto"/>
        <w:left w:val="none" w:sz="0" w:space="0" w:color="auto"/>
        <w:bottom w:val="none" w:sz="0" w:space="0" w:color="auto"/>
        <w:right w:val="none" w:sz="0" w:space="0" w:color="auto"/>
      </w:divBdr>
    </w:div>
    <w:div w:id="534662096">
      <w:bodyDiv w:val="1"/>
      <w:marLeft w:val="0"/>
      <w:marRight w:val="0"/>
      <w:marTop w:val="0"/>
      <w:marBottom w:val="0"/>
      <w:divBdr>
        <w:top w:val="none" w:sz="0" w:space="0" w:color="auto"/>
        <w:left w:val="none" w:sz="0" w:space="0" w:color="auto"/>
        <w:bottom w:val="none" w:sz="0" w:space="0" w:color="auto"/>
        <w:right w:val="none" w:sz="0" w:space="0" w:color="auto"/>
      </w:divBdr>
    </w:div>
    <w:div w:id="550267624">
      <w:bodyDiv w:val="1"/>
      <w:marLeft w:val="0"/>
      <w:marRight w:val="0"/>
      <w:marTop w:val="0"/>
      <w:marBottom w:val="0"/>
      <w:divBdr>
        <w:top w:val="none" w:sz="0" w:space="0" w:color="auto"/>
        <w:left w:val="none" w:sz="0" w:space="0" w:color="auto"/>
        <w:bottom w:val="none" w:sz="0" w:space="0" w:color="auto"/>
        <w:right w:val="none" w:sz="0" w:space="0" w:color="auto"/>
      </w:divBdr>
    </w:div>
    <w:div w:id="553125008">
      <w:bodyDiv w:val="1"/>
      <w:marLeft w:val="0"/>
      <w:marRight w:val="0"/>
      <w:marTop w:val="0"/>
      <w:marBottom w:val="0"/>
      <w:divBdr>
        <w:top w:val="none" w:sz="0" w:space="0" w:color="auto"/>
        <w:left w:val="none" w:sz="0" w:space="0" w:color="auto"/>
        <w:bottom w:val="none" w:sz="0" w:space="0" w:color="auto"/>
        <w:right w:val="none" w:sz="0" w:space="0" w:color="auto"/>
      </w:divBdr>
    </w:div>
    <w:div w:id="557591962">
      <w:bodyDiv w:val="1"/>
      <w:marLeft w:val="0"/>
      <w:marRight w:val="0"/>
      <w:marTop w:val="0"/>
      <w:marBottom w:val="0"/>
      <w:divBdr>
        <w:top w:val="none" w:sz="0" w:space="0" w:color="auto"/>
        <w:left w:val="none" w:sz="0" w:space="0" w:color="auto"/>
        <w:bottom w:val="none" w:sz="0" w:space="0" w:color="auto"/>
        <w:right w:val="none" w:sz="0" w:space="0" w:color="auto"/>
      </w:divBdr>
    </w:div>
    <w:div w:id="560018623">
      <w:bodyDiv w:val="1"/>
      <w:marLeft w:val="0"/>
      <w:marRight w:val="0"/>
      <w:marTop w:val="0"/>
      <w:marBottom w:val="0"/>
      <w:divBdr>
        <w:top w:val="none" w:sz="0" w:space="0" w:color="auto"/>
        <w:left w:val="none" w:sz="0" w:space="0" w:color="auto"/>
        <w:bottom w:val="none" w:sz="0" w:space="0" w:color="auto"/>
        <w:right w:val="none" w:sz="0" w:space="0" w:color="auto"/>
      </w:divBdr>
    </w:div>
    <w:div w:id="565533373">
      <w:bodyDiv w:val="1"/>
      <w:marLeft w:val="0"/>
      <w:marRight w:val="0"/>
      <w:marTop w:val="0"/>
      <w:marBottom w:val="0"/>
      <w:divBdr>
        <w:top w:val="none" w:sz="0" w:space="0" w:color="auto"/>
        <w:left w:val="none" w:sz="0" w:space="0" w:color="auto"/>
        <w:bottom w:val="none" w:sz="0" w:space="0" w:color="auto"/>
        <w:right w:val="none" w:sz="0" w:space="0" w:color="auto"/>
      </w:divBdr>
    </w:div>
    <w:div w:id="569317620">
      <w:bodyDiv w:val="1"/>
      <w:marLeft w:val="0"/>
      <w:marRight w:val="0"/>
      <w:marTop w:val="0"/>
      <w:marBottom w:val="0"/>
      <w:divBdr>
        <w:top w:val="none" w:sz="0" w:space="0" w:color="auto"/>
        <w:left w:val="none" w:sz="0" w:space="0" w:color="auto"/>
        <w:bottom w:val="none" w:sz="0" w:space="0" w:color="auto"/>
        <w:right w:val="none" w:sz="0" w:space="0" w:color="auto"/>
      </w:divBdr>
    </w:div>
    <w:div w:id="570622756">
      <w:bodyDiv w:val="1"/>
      <w:marLeft w:val="0"/>
      <w:marRight w:val="0"/>
      <w:marTop w:val="0"/>
      <w:marBottom w:val="0"/>
      <w:divBdr>
        <w:top w:val="none" w:sz="0" w:space="0" w:color="auto"/>
        <w:left w:val="none" w:sz="0" w:space="0" w:color="auto"/>
        <w:bottom w:val="none" w:sz="0" w:space="0" w:color="auto"/>
        <w:right w:val="none" w:sz="0" w:space="0" w:color="auto"/>
      </w:divBdr>
    </w:div>
    <w:div w:id="571044645">
      <w:bodyDiv w:val="1"/>
      <w:marLeft w:val="0"/>
      <w:marRight w:val="0"/>
      <w:marTop w:val="0"/>
      <w:marBottom w:val="0"/>
      <w:divBdr>
        <w:top w:val="none" w:sz="0" w:space="0" w:color="auto"/>
        <w:left w:val="none" w:sz="0" w:space="0" w:color="auto"/>
        <w:bottom w:val="none" w:sz="0" w:space="0" w:color="auto"/>
        <w:right w:val="none" w:sz="0" w:space="0" w:color="auto"/>
      </w:divBdr>
    </w:div>
    <w:div w:id="577640154">
      <w:bodyDiv w:val="1"/>
      <w:marLeft w:val="0"/>
      <w:marRight w:val="0"/>
      <w:marTop w:val="0"/>
      <w:marBottom w:val="0"/>
      <w:divBdr>
        <w:top w:val="none" w:sz="0" w:space="0" w:color="auto"/>
        <w:left w:val="none" w:sz="0" w:space="0" w:color="auto"/>
        <w:bottom w:val="none" w:sz="0" w:space="0" w:color="auto"/>
        <w:right w:val="none" w:sz="0" w:space="0" w:color="auto"/>
      </w:divBdr>
    </w:div>
    <w:div w:id="577787727">
      <w:bodyDiv w:val="1"/>
      <w:marLeft w:val="0"/>
      <w:marRight w:val="0"/>
      <w:marTop w:val="0"/>
      <w:marBottom w:val="0"/>
      <w:divBdr>
        <w:top w:val="none" w:sz="0" w:space="0" w:color="auto"/>
        <w:left w:val="none" w:sz="0" w:space="0" w:color="auto"/>
        <w:bottom w:val="none" w:sz="0" w:space="0" w:color="auto"/>
        <w:right w:val="none" w:sz="0" w:space="0" w:color="auto"/>
      </w:divBdr>
    </w:div>
    <w:div w:id="580139478">
      <w:bodyDiv w:val="1"/>
      <w:marLeft w:val="0"/>
      <w:marRight w:val="0"/>
      <w:marTop w:val="0"/>
      <w:marBottom w:val="0"/>
      <w:divBdr>
        <w:top w:val="none" w:sz="0" w:space="0" w:color="auto"/>
        <w:left w:val="none" w:sz="0" w:space="0" w:color="auto"/>
        <w:bottom w:val="none" w:sz="0" w:space="0" w:color="auto"/>
        <w:right w:val="none" w:sz="0" w:space="0" w:color="auto"/>
      </w:divBdr>
    </w:div>
    <w:div w:id="584458621">
      <w:bodyDiv w:val="1"/>
      <w:marLeft w:val="0"/>
      <w:marRight w:val="0"/>
      <w:marTop w:val="0"/>
      <w:marBottom w:val="0"/>
      <w:divBdr>
        <w:top w:val="none" w:sz="0" w:space="0" w:color="auto"/>
        <w:left w:val="none" w:sz="0" w:space="0" w:color="auto"/>
        <w:bottom w:val="none" w:sz="0" w:space="0" w:color="auto"/>
        <w:right w:val="none" w:sz="0" w:space="0" w:color="auto"/>
      </w:divBdr>
    </w:div>
    <w:div w:id="597524367">
      <w:bodyDiv w:val="1"/>
      <w:marLeft w:val="0"/>
      <w:marRight w:val="0"/>
      <w:marTop w:val="0"/>
      <w:marBottom w:val="0"/>
      <w:divBdr>
        <w:top w:val="none" w:sz="0" w:space="0" w:color="auto"/>
        <w:left w:val="none" w:sz="0" w:space="0" w:color="auto"/>
        <w:bottom w:val="none" w:sz="0" w:space="0" w:color="auto"/>
        <w:right w:val="none" w:sz="0" w:space="0" w:color="auto"/>
      </w:divBdr>
    </w:div>
    <w:div w:id="598416484">
      <w:bodyDiv w:val="1"/>
      <w:marLeft w:val="0"/>
      <w:marRight w:val="0"/>
      <w:marTop w:val="0"/>
      <w:marBottom w:val="0"/>
      <w:divBdr>
        <w:top w:val="none" w:sz="0" w:space="0" w:color="auto"/>
        <w:left w:val="none" w:sz="0" w:space="0" w:color="auto"/>
        <w:bottom w:val="none" w:sz="0" w:space="0" w:color="auto"/>
        <w:right w:val="none" w:sz="0" w:space="0" w:color="auto"/>
      </w:divBdr>
    </w:div>
    <w:div w:id="599526781">
      <w:bodyDiv w:val="1"/>
      <w:marLeft w:val="0"/>
      <w:marRight w:val="0"/>
      <w:marTop w:val="0"/>
      <w:marBottom w:val="0"/>
      <w:divBdr>
        <w:top w:val="none" w:sz="0" w:space="0" w:color="auto"/>
        <w:left w:val="none" w:sz="0" w:space="0" w:color="auto"/>
        <w:bottom w:val="none" w:sz="0" w:space="0" w:color="auto"/>
        <w:right w:val="none" w:sz="0" w:space="0" w:color="auto"/>
      </w:divBdr>
    </w:div>
    <w:div w:id="599989181">
      <w:bodyDiv w:val="1"/>
      <w:marLeft w:val="0"/>
      <w:marRight w:val="0"/>
      <w:marTop w:val="0"/>
      <w:marBottom w:val="0"/>
      <w:divBdr>
        <w:top w:val="none" w:sz="0" w:space="0" w:color="auto"/>
        <w:left w:val="none" w:sz="0" w:space="0" w:color="auto"/>
        <w:bottom w:val="none" w:sz="0" w:space="0" w:color="auto"/>
        <w:right w:val="none" w:sz="0" w:space="0" w:color="auto"/>
      </w:divBdr>
    </w:div>
    <w:div w:id="601232104">
      <w:bodyDiv w:val="1"/>
      <w:marLeft w:val="0"/>
      <w:marRight w:val="0"/>
      <w:marTop w:val="0"/>
      <w:marBottom w:val="0"/>
      <w:divBdr>
        <w:top w:val="none" w:sz="0" w:space="0" w:color="auto"/>
        <w:left w:val="none" w:sz="0" w:space="0" w:color="auto"/>
        <w:bottom w:val="none" w:sz="0" w:space="0" w:color="auto"/>
        <w:right w:val="none" w:sz="0" w:space="0" w:color="auto"/>
      </w:divBdr>
    </w:div>
    <w:div w:id="602303018">
      <w:bodyDiv w:val="1"/>
      <w:marLeft w:val="0"/>
      <w:marRight w:val="0"/>
      <w:marTop w:val="0"/>
      <w:marBottom w:val="0"/>
      <w:divBdr>
        <w:top w:val="none" w:sz="0" w:space="0" w:color="auto"/>
        <w:left w:val="none" w:sz="0" w:space="0" w:color="auto"/>
        <w:bottom w:val="none" w:sz="0" w:space="0" w:color="auto"/>
        <w:right w:val="none" w:sz="0" w:space="0" w:color="auto"/>
      </w:divBdr>
    </w:div>
    <w:div w:id="603536402">
      <w:bodyDiv w:val="1"/>
      <w:marLeft w:val="0"/>
      <w:marRight w:val="0"/>
      <w:marTop w:val="0"/>
      <w:marBottom w:val="0"/>
      <w:divBdr>
        <w:top w:val="none" w:sz="0" w:space="0" w:color="auto"/>
        <w:left w:val="none" w:sz="0" w:space="0" w:color="auto"/>
        <w:bottom w:val="none" w:sz="0" w:space="0" w:color="auto"/>
        <w:right w:val="none" w:sz="0" w:space="0" w:color="auto"/>
      </w:divBdr>
    </w:div>
    <w:div w:id="606546565">
      <w:bodyDiv w:val="1"/>
      <w:marLeft w:val="0"/>
      <w:marRight w:val="0"/>
      <w:marTop w:val="0"/>
      <w:marBottom w:val="0"/>
      <w:divBdr>
        <w:top w:val="none" w:sz="0" w:space="0" w:color="auto"/>
        <w:left w:val="none" w:sz="0" w:space="0" w:color="auto"/>
        <w:bottom w:val="none" w:sz="0" w:space="0" w:color="auto"/>
        <w:right w:val="none" w:sz="0" w:space="0" w:color="auto"/>
      </w:divBdr>
    </w:div>
    <w:div w:id="614292542">
      <w:bodyDiv w:val="1"/>
      <w:marLeft w:val="0"/>
      <w:marRight w:val="0"/>
      <w:marTop w:val="0"/>
      <w:marBottom w:val="0"/>
      <w:divBdr>
        <w:top w:val="none" w:sz="0" w:space="0" w:color="auto"/>
        <w:left w:val="none" w:sz="0" w:space="0" w:color="auto"/>
        <w:bottom w:val="none" w:sz="0" w:space="0" w:color="auto"/>
        <w:right w:val="none" w:sz="0" w:space="0" w:color="auto"/>
      </w:divBdr>
    </w:div>
    <w:div w:id="616915578">
      <w:bodyDiv w:val="1"/>
      <w:marLeft w:val="0"/>
      <w:marRight w:val="0"/>
      <w:marTop w:val="0"/>
      <w:marBottom w:val="0"/>
      <w:divBdr>
        <w:top w:val="none" w:sz="0" w:space="0" w:color="auto"/>
        <w:left w:val="none" w:sz="0" w:space="0" w:color="auto"/>
        <w:bottom w:val="none" w:sz="0" w:space="0" w:color="auto"/>
        <w:right w:val="none" w:sz="0" w:space="0" w:color="auto"/>
      </w:divBdr>
    </w:div>
    <w:div w:id="616983659">
      <w:bodyDiv w:val="1"/>
      <w:marLeft w:val="0"/>
      <w:marRight w:val="0"/>
      <w:marTop w:val="0"/>
      <w:marBottom w:val="0"/>
      <w:divBdr>
        <w:top w:val="none" w:sz="0" w:space="0" w:color="auto"/>
        <w:left w:val="none" w:sz="0" w:space="0" w:color="auto"/>
        <w:bottom w:val="none" w:sz="0" w:space="0" w:color="auto"/>
        <w:right w:val="none" w:sz="0" w:space="0" w:color="auto"/>
      </w:divBdr>
    </w:div>
    <w:div w:id="622619726">
      <w:bodyDiv w:val="1"/>
      <w:marLeft w:val="0"/>
      <w:marRight w:val="0"/>
      <w:marTop w:val="0"/>
      <w:marBottom w:val="0"/>
      <w:divBdr>
        <w:top w:val="none" w:sz="0" w:space="0" w:color="auto"/>
        <w:left w:val="none" w:sz="0" w:space="0" w:color="auto"/>
        <w:bottom w:val="none" w:sz="0" w:space="0" w:color="auto"/>
        <w:right w:val="none" w:sz="0" w:space="0" w:color="auto"/>
      </w:divBdr>
      <w:divsChild>
        <w:div w:id="1365205467">
          <w:marLeft w:val="0"/>
          <w:marRight w:val="0"/>
          <w:marTop w:val="0"/>
          <w:marBottom w:val="0"/>
          <w:divBdr>
            <w:top w:val="none" w:sz="0" w:space="0" w:color="auto"/>
            <w:left w:val="none" w:sz="0" w:space="0" w:color="auto"/>
            <w:bottom w:val="none" w:sz="0" w:space="0" w:color="auto"/>
            <w:right w:val="none" w:sz="0" w:space="0" w:color="auto"/>
          </w:divBdr>
        </w:div>
      </w:divsChild>
    </w:div>
    <w:div w:id="623343908">
      <w:bodyDiv w:val="1"/>
      <w:marLeft w:val="0"/>
      <w:marRight w:val="0"/>
      <w:marTop w:val="0"/>
      <w:marBottom w:val="0"/>
      <w:divBdr>
        <w:top w:val="none" w:sz="0" w:space="0" w:color="auto"/>
        <w:left w:val="none" w:sz="0" w:space="0" w:color="auto"/>
        <w:bottom w:val="none" w:sz="0" w:space="0" w:color="auto"/>
        <w:right w:val="none" w:sz="0" w:space="0" w:color="auto"/>
      </w:divBdr>
    </w:div>
    <w:div w:id="624581387">
      <w:bodyDiv w:val="1"/>
      <w:marLeft w:val="0"/>
      <w:marRight w:val="0"/>
      <w:marTop w:val="0"/>
      <w:marBottom w:val="0"/>
      <w:divBdr>
        <w:top w:val="none" w:sz="0" w:space="0" w:color="auto"/>
        <w:left w:val="none" w:sz="0" w:space="0" w:color="auto"/>
        <w:bottom w:val="none" w:sz="0" w:space="0" w:color="auto"/>
        <w:right w:val="none" w:sz="0" w:space="0" w:color="auto"/>
      </w:divBdr>
    </w:div>
    <w:div w:id="626861916">
      <w:bodyDiv w:val="1"/>
      <w:marLeft w:val="0"/>
      <w:marRight w:val="0"/>
      <w:marTop w:val="0"/>
      <w:marBottom w:val="0"/>
      <w:divBdr>
        <w:top w:val="none" w:sz="0" w:space="0" w:color="auto"/>
        <w:left w:val="none" w:sz="0" w:space="0" w:color="auto"/>
        <w:bottom w:val="none" w:sz="0" w:space="0" w:color="auto"/>
        <w:right w:val="none" w:sz="0" w:space="0" w:color="auto"/>
      </w:divBdr>
    </w:div>
    <w:div w:id="628366797">
      <w:bodyDiv w:val="1"/>
      <w:marLeft w:val="0"/>
      <w:marRight w:val="0"/>
      <w:marTop w:val="0"/>
      <w:marBottom w:val="0"/>
      <w:divBdr>
        <w:top w:val="none" w:sz="0" w:space="0" w:color="auto"/>
        <w:left w:val="none" w:sz="0" w:space="0" w:color="auto"/>
        <w:bottom w:val="none" w:sz="0" w:space="0" w:color="auto"/>
        <w:right w:val="none" w:sz="0" w:space="0" w:color="auto"/>
      </w:divBdr>
    </w:div>
    <w:div w:id="629214780">
      <w:bodyDiv w:val="1"/>
      <w:marLeft w:val="0"/>
      <w:marRight w:val="0"/>
      <w:marTop w:val="0"/>
      <w:marBottom w:val="0"/>
      <w:divBdr>
        <w:top w:val="none" w:sz="0" w:space="0" w:color="auto"/>
        <w:left w:val="none" w:sz="0" w:space="0" w:color="auto"/>
        <w:bottom w:val="none" w:sz="0" w:space="0" w:color="auto"/>
        <w:right w:val="none" w:sz="0" w:space="0" w:color="auto"/>
      </w:divBdr>
    </w:div>
    <w:div w:id="631516249">
      <w:bodyDiv w:val="1"/>
      <w:marLeft w:val="0"/>
      <w:marRight w:val="0"/>
      <w:marTop w:val="0"/>
      <w:marBottom w:val="0"/>
      <w:divBdr>
        <w:top w:val="none" w:sz="0" w:space="0" w:color="auto"/>
        <w:left w:val="none" w:sz="0" w:space="0" w:color="auto"/>
        <w:bottom w:val="none" w:sz="0" w:space="0" w:color="auto"/>
        <w:right w:val="none" w:sz="0" w:space="0" w:color="auto"/>
      </w:divBdr>
    </w:div>
    <w:div w:id="645429909">
      <w:bodyDiv w:val="1"/>
      <w:marLeft w:val="0"/>
      <w:marRight w:val="0"/>
      <w:marTop w:val="0"/>
      <w:marBottom w:val="0"/>
      <w:divBdr>
        <w:top w:val="none" w:sz="0" w:space="0" w:color="auto"/>
        <w:left w:val="none" w:sz="0" w:space="0" w:color="auto"/>
        <w:bottom w:val="none" w:sz="0" w:space="0" w:color="auto"/>
        <w:right w:val="none" w:sz="0" w:space="0" w:color="auto"/>
      </w:divBdr>
    </w:div>
    <w:div w:id="651252361">
      <w:bodyDiv w:val="1"/>
      <w:marLeft w:val="0"/>
      <w:marRight w:val="0"/>
      <w:marTop w:val="0"/>
      <w:marBottom w:val="0"/>
      <w:divBdr>
        <w:top w:val="none" w:sz="0" w:space="0" w:color="auto"/>
        <w:left w:val="none" w:sz="0" w:space="0" w:color="auto"/>
        <w:bottom w:val="none" w:sz="0" w:space="0" w:color="auto"/>
        <w:right w:val="none" w:sz="0" w:space="0" w:color="auto"/>
      </w:divBdr>
    </w:div>
    <w:div w:id="652295406">
      <w:bodyDiv w:val="1"/>
      <w:marLeft w:val="0"/>
      <w:marRight w:val="0"/>
      <w:marTop w:val="0"/>
      <w:marBottom w:val="0"/>
      <w:divBdr>
        <w:top w:val="none" w:sz="0" w:space="0" w:color="auto"/>
        <w:left w:val="none" w:sz="0" w:space="0" w:color="auto"/>
        <w:bottom w:val="none" w:sz="0" w:space="0" w:color="auto"/>
        <w:right w:val="none" w:sz="0" w:space="0" w:color="auto"/>
      </w:divBdr>
    </w:div>
    <w:div w:id="654840056">
      <w:bodyDiv w:val="1"/>
      <w:marLeft w:val="0"/>
      <w:marRight w:val="0"/>
      <w:marTop w:val="0"/>
      <w:marBottom w:val="0"/>
      <w:divBdr>
        <w:top w:val="none" w:sz="0" w:space="0" w:color="auto"/>
        <w:left w:val="none" w:sz="0" w:space="0" w:color="auto"/>
        <w:bottom w:val="none" w:sz="0" w:space="0" w:color="auto"/>
        <w:right w:val="none" w:sz="0" w:space="0" w:color="auto"/>
      </w:divBdr>
    </w:div>
    <w:div w:id="658340428">
      <w:bodyDiv w:val="1"/>
      <w:marLeft w:val="0"/>
      <w:marRight w:val="0"/>
      <w:marTop w:val="0"/>
      <w:marBottom w:val="0"/>
      <w:divBdr>
        <w:top w:val="none" w:sz="0" w:space="0" w:color="auto"/>
        <w:left w:val="none" w:sz="0" w:space="0" w:color="auto"/>
        <w:bottom w:val="none" w:sz="0" w:space="0" w:color="auto"/>
        <w:right w:val="none" w:sz="0" w:space="0" w:color="auto"/>
      </w:divBdr>
    </w:div>
    <w:div w:id="660499524">
      <w:bodyDiv w:val="1"/>
      <w:marLeft w:val="0"/>
      <w:marRight w:val="0"/>
      <w:marTop w:val="0"/>
      <w:marBottom w:val="0"/>
      <w:divBdr>
        <w:top w:val="none" w:sz="0" w:space="0" w:color="auto"/>
        <w:left w:val="none" w:sz="0" w:space="0" w:color="auto"/>
        <w:bottom w:val="none" w:sz="0" w:space="0" w:color="auto"/>
        <w:right w:val="none" w:sz="0" w:space="0" w:color="auto"/>
      </w:divBdr>
    </w:div>
    <w:div w:id="675041875">
      <w:bodyDiv w:val="1"/>
      <w:marLeft w:val="0"/>
      <w:marRight w:val="0"/>
      <w:marTop w:val="0"/>
      <w:marBottom w:val="0"/>
      <w:divBdr>
        <w:top w:val="none" w:sz="0" w:space="0" w:color="auto"/>
        <w:left w:val="none" w:sz="0" w:space="0" w:color="auto"/>
        <w:bottom w:val="none" w:sz="0" w:space="0" w:color="auto"/>
        <w:right w:val="none" w:sz="0" w:space="0" w:color="auto"/>
      </w:divBdr>
    </w:div>
    <w:div w:id="676808783">
      <w:bodyDiv w:val="1"/>
      <w:marLeft w:val="0"/>
      <w:marRight w:val="0"/>
      <w:marTop w:val="0"/>
      <w:marBottom w:val="0"/>
      <w:divBdr>
        <w:top w:val="none" w:sz="0" w:space="0" w:color="auto"/>
        <w:left w:val="none" w:sz="0" w:space="0" w:color="auto"/>
        <w:bottom w:val="none" w:sz="0" w:space="0" w:color="auto"/>
        <w:right w:val="none" w:sz="0" w:space="0" w:color="auto"/>
      </w:divBdr>
    </w:div>
    <w:div w:id="677587197">
      <w:bodyDiv w:val="1"/>
      <w:marLeft w:val="0"/>
      <w:marRight w:val="0"/>
      <w:marTop w:val="0"/>
      <w:marBottom w:val="0"/>
      <w:divBdr>
        <w:top w:val="none" w:sz="0" w:space="0" w:color="auto"/>
        <w:left w:val="none" w:sz="0" w:space="0" w:color="auto"/>
        <w:bottom w:val="none" w:sz="0" w:space="0" w:color="auto"/>
        <w:right w:val="none" w:sz="0" w:space="0" w:color="auto"/>
      </w:divBdr>
    </w:div>
    <w:div w:id="677999802">
      <w:bodyDiv w:val="1"/>
      <w:marLeft w:val="0"/>
      <w:marRight w:val="0"/>
      <w:marTop w:val="0"/>
      <w:marBottom w:val="0"/>
      <w:divBdr>
        <w:top w:val="none" w:sz="0" w:space="0" w:color="auto"/>
        <w:left w:val="none" w:sz="0" w:space="0" w:color="auto"/>
        <w:bottom w:val="none" w:sz="0" w:space="0" w:color="auto"/>
        <w:right w:val="none" w:sz="0" w:space="0" w:color="auto"/>
      </w:divBdr>
    </w:div>
    <w:div w:id="681274612">
      <w:bodyDiv w:val="1"/>
      <w:marLeft w:val="0"/>
      <w:marRight w:val="0"/>
      <w:marTop w:val="0"/>
      <w:marBottom w:val="0"/>
      <w:divBdr>
        <w:top w:val="none" w:sz="0" w:space="0" w:color="auto"/>
        <w:left w:val="none" w:sz="0" w:space="0" w:color="auto"/>
        <w:bottom w:val="none" w:sz="0" w:space="0" w:color="auto"/>
        <w:right w:val="none" w:sz="0" w:space="0" w:color="auto"/>
      </w:divBdr>
    </w:div>
    <w:div w:id="681979549">
      <w:bodyDiv w:val="1"/>
      <w:marLeft w:val="0"/>
      <w:marRight w:val="0"/>
      <w:marTop w:val="0"/>
      <w:marBottom w:val="0"/>
      <w:divBdr>
        <w:top w:val="none" w:sz="0" w:space="0" w:color="auto"/>
        <w:left w:val="none" w:sz="0" w:space="0" w:color="auto"/>
        <w:bottom w:val="none" w:sz="0" w:space="0" w:color="auto"/>
        <w:right w:val="none" w:sz="0" w:space="0" w:color="auto"/>
      </w:divBdr>
    </w:div>
    <w:div w:id="689646228">
      <w:bodyDiv w:val="1"/>
      <w:marLeft w:val="0"/>
      <w:marRight w:val="0"/>
      <w:marTop w:val="0"/>
      <w:marBottom w:val="0"/>
      <w:divBdr>
        <w:top w:val="none" w:sz="0" w:space="0" w:color="auto"/>
        <w:left w:val="none" w:sz="0" w:space="0" w:color="auto"/>
        <w:bottom w:val="none" w:sz="0" w:space="0" w:color="auto"/>
        <w:right w:val="none" w:sz="0" w:space="0" w:color="auto"/>
      </w:divBdr>
    </w:div>
    <w:div w:id="691154295">
      <w:bodyDiv w:val="1"/>
      <w:marLeft w:val="0"/>
      <w:marRight w:val="0"/>
      <w:marTop w:val="0"/>
      <w:marBottom w:val="0"/>
      <w:divBdr>
        <w:top w:val="none" w:sz="0" w:space="0" w:color="auto"/>
        <w:left w:val="none" w:sz="0" w:space="0" w:color="auto"/>
        <w:bottom w:val="none" w:sz="0" w:space="0" w:color="auto"/>
        <w:right w:val="none" w:sz="0" w:space="0" w:color="auto"/>
      </w:divBdr>
    </w:div>
    <w:div w:id="693120894">
      <w:bodyDiv w:val="1"/>
      <w:marLeft w:val="0"/>
      <w:marRight w:val="0"/>
      <w:marTop w:val="0"/>
      <w:marBottom w:val="0"/>
      <w:divBdr>
        <w:top w:val="none" w:sz="0" w:space="0" w:color="auto"/>
        <w:left w:val="none" w:sz="0" w:space="0" w:color="auto"/>
        <w:bottom w:val="none" w:sz="0" w:space="0" w:color="auto"/>
        <w:right w:val="none" w:sz="0" w:space="0" w:color="auto"/>
      </w:divBdr>
    </w:div>
    <w:div w:id="722219493">
      <w:bodyDiv w:val="1"/>
      <w:marLeft w:val="0"/>
      <w:marRight w:val="0"/>
      <w:marTop w:val="0"/>
      <w:marBottom w:val="0"/>
      <w:divBdr>
        <w:top w:val="none" w:sz="0" w:space="0" w:color="auto"/>
        <w:left w:val="none" w:sz="0" w:space="0" w:color="auto"/>
        <w:bottom w:val="none" w:sz="0" w:space="0" w:color="auto"/>
        <w:right w:val="none" w:sz="0" w:space="0" w:color="auto"/>
      </w:divBdr>
    </w:div>
    <w:div w:id="722487999">
      <w:bodyDiv w:val="1"/>
      <w:marLeft w:val="0"/>
      <w:marRight w:val="0"/>
      <w:marTop w:val="0"/>
      <w:marBottom w:val="0"/>
      <w:divBdr>
        <w:top w:val="none" w:sz="0" w:space="0" w:color="auto"/>
        <w:left w:val="none" w:sz="0" w:space="0" w:color="auto"/>
        <w:bottom w:val="none" w:sz="0" w:space="0" w:color="auto"/>
        <w:right w:val="none" w:sz="0" w:space="0" w:color="auto"/>
      </w:divBdr>
    </w:div>
    <w:div w:id="727801747">
      <w:bodyDiv w:val="1"/>
      <w:marLeft w:val="0"/>
      <w:marRight w:val="0"/>
      <w:marTop w:val="0"/>
      <w:marBottom w:val="0"/>
      <w:divBdr>
        <w:top w:val="none" w:sz="0" w:space="0" w:color="auto"/>
        <w:left w:val="none" w:sz="0" w:space="0" w:color="auto"/>
        <w:bottom w:val="none" w:sz="0" w:space="0" w:color="auto"/>
        <w:right w:val="none" w:sz="0" w:space="0" w:color="auto"/>
      </w:divBdr>
    </w:div>
    <w:div w:id="729234336">
      <w:bodyDiv w:val="1"/>
      <w:marLeft w:val="0"/>
      <w:marRight w:val="0"/>
      <w:marTop w:val="0"/>
      <w:marBottom w:val="0"/>
      <w:divBdr>
        <w:top w:val="none" w:sz="0" w:space="0" w:color="auto"/>
        <w:left w:val="none" w:sz="0" w:space="0" w:color="auto"/>
        <w:bottom w:val="none" w:sz="0" w:space="0" w:color="auto"/>
        <w:right w:val="none" w:sz="0" w:space="0" w:color="auto"/>
      </w:divBdr>
    </w:div>
    <w:div w:id="732704489">
      <w:bodyDiv w:val="1"/>
      <w:marLeft w:val="0"/>
      <w:marRight w:val="0"/>
      <w:marTop w:val="0"/>
      <w:marBottom w:val="0"/>
      <w:divBdr>
        <w:top w:val="none" w:sz="0" w:space="0" w:color="auto"/>
        <w:left w:val="none" w:sz="0" w:space="0" w:color="auto"/>
        <w:bottom w:val="none" w:sz="0" w:space="0" w:color="auto"/>
        <w:right w:val="none" w:sz="0" w:space="0" w:color="auto"/>
      </w:divBdr>
    </w:div>
    <w:div w:id="744571126">
      <w:bodyDiv w:val="1"/>
      <w:marLeft w:val="0"/>
      <w:marRight w:val="0"/>
      <w:marTop w:val="0"/>
      <w:marBottom w:val="0"/>
      <w:divBdr>
        <w:top w:val="none" w:sz="0" w:space="0" w:color="auto"/>
        <w:left w:val="none" w:sz="0" w:space="0" w:color="auto"/>
        <w:bottom w:val="none" w:sz="0" w:space="0" w:color="auto"/>
        <w:right w:val="none" w:sz="0" w:space="0" w:color="auto"/>
      </w:divBdr>
    </w:div>
    <w:div w:id="746852796">
      <w:bodyDiv w:val="1"/>
      <w:marLeft w:val="0"/>
      <w:marRight w:val="0"/>
      <w:marTop w:val="0"/>
      <w:marBottom w:val="0"/>
      <w:divBdr>
        <w:top w:val="none" w:sz="0" w:space="0" w:color="auto"/>
        <w:left w:val="none" w:sz="0" w:space="0" w:color="auto"/>
        <w:bottom w:val="none" w:sz="0" w:space="0" w:color="auto"/>
        <w:right w:val="none" w:sz="0" w:space="0" w:color="auto"/>
      </w:divBdr>
    </w:div>
    <w:div w:id="749742184">
      <w:bodyDiv w:val="1"/>
      <w:marLeft w:val="0"/>
      <w:marRight w:val="0"/>
      <w:marTop w:val="0"/>
      <w:marBottom w:val="0"/>
      <w:divBdr>
        <w:top w:val="none" w:sz="0" w:space="0" w:color="auto"/>
        <w:left w:val="none" w:sz="0" w:space="0" w:color="auto"/>
        <w:bottom w:val="none" w:sz="0" w:space="0" w:color="auto"/>
        <w:right w:val="none" w:sz="0" w:space="0" w:color="auto"/>
      </w:divBdr>
    </w:div>
    <w:div w:id="751972703">
      <w:bodyDiv w:val="1"/>
      <w:marLeft w:val="0"/>
      <w:marRight w:val="0"/>
      <w:marTop w:val="0"/>
      <w:marBottom w:val="0"/>
      <w:divBdr>
        <w:top w:val="none" w:sz="0" w:space="0" w:color="auto"/>
        <w:left w:val="none" w:sz="0" w:space="0" w:color="auto"/>
        <w:bottom w:val="none" w:sz="0" w:space="0" w:color="auto"/>
        <w:right w:val="none" w:sz="0" w:space="0" w:color="auto"/>
      </w:divBdr>
    </w:div>
    <w:div w:id="753361874">
      <w:bodyDiv w:val="1"/>
      <w:marLeft w:val="0"/>
      <w:marRight w:val="0"/>
      <w:marTop w:val="0"/>
      <w:marBottom w:val="0"/>
      <w:divBdr>
        <w:top w:val="none" w:sz="0" w:space="0" w:color="auto"/>
        <w:left w:val="none" w:sz="0" w:space="0" w:color="auto"/>
        <w:bottom w:val="none" w:sz="0" w:space="0" w:color="auto"/>
        <w:right w:val="none" w:sz="0" w:space="0" w:color="auto"/>
      </w:divBdr>
    </w:div>
    <w:div w:id="753665653">
      <w:bodyDiv w:val="1"/>
      <w:marLeft w:val="0"/>
      <w:marRight w:val="0"/>
      <w:marTop w:val="0"/>
      <w:marBottom w:val="0"/>
      <w:divBdr>
        <w:top w:val="none" w:sz="0" w:space="0" w:color="auto"/>
        <w:left w:val="none" w:sz="0" w:space="0" w:color="auto"/>
        <w:bottom w:val="none" w:sz="0" w:space="0" w:color="auto"/>
        <w:right w:val="none" w:sz="0" w:space="0" w:color="auto"/>
      </w:divBdr>
    </w:div>
    <w:div w:id="755833042">
      <w:bodyDiv w:val="1"/>
      <w:marLeft w:val="0"/>
      <w:marRight w:val="0"/>
      <w:marTop w:val="0"/>
      <w:marBottom w:val="0"/>
      <w:divBdr>
        <w:top w:val="none" w:sz="0" w:space="0" w:color="auto"/>
        <w:left w:val="none" w:sz="0" w:space="0" w:color="auto"/>
        <w:bottom w:val="none" w:sz="0" w:space="0" w:color="auto"/>
        <w:right w:val="none" w:sz="0" w:space="0" w:color="auto"/>
      </w:divBdr>
    </w:div>
    <w:div w:id="756636051">
      <w:bodyDiv w:val="1"/>
      <w:marLeft w:val="0"/>
      <w:marRight w:val="0"/>
      <w:marTop w:val="0"/>
      <w:marBottom w:val="0"/>
      <w:divBdr>
        <w:top w:val="none" w:sz="0" w:space="0" w:color="auto"/>
        <w:left w:val="none" w:sz="0" w:space="0" w:color="auto"/>
        <w:bottom w:val="none" w:sz="0" w:space="0" w:color="auto"/>
        <w:right w:val="none" w:sz="0" w:space="0" w:color="auto"/>
      </w:divBdr>
    </w:div>
    <w:div w:id="760222558">
      <w:bodyDiv w:val="1"/>
      <w:marLeft w:val="0"/>
      <w:marRight w:val="0"/>
      <w:marTop w:val="0"/>
      <w:marBottom w:val="0"/>
      <w:divBdr>
        <w:top w:val="none" w:sz="0" w:space="0" w:color="auto"/>
        <w:left w:val="none" w:sz="0" w:space="0" w:color="auto"/>
        <w:bottom w:val="none" w:sz="0" w:space="0" w:color="auto"/>
        <w:right w:val="none" w:sz="0" w:space="0" w:color="auto"/>
      </w:divBdr>
    </w:div>
    <w:div w:id="762531528">
      <w:bodyDiv w:val="1"/>
      <w:marLeft w:val="0"/>
      <w:marRight w:val="0"/>
      <w:marTop w:val="0"/>
      <w:marBottom w:val="0"/>
      <w:divBdr>
        <w:top w:val="none" w:sz="0" w:space="0" w:color="auto"/>
        <w:left w:val="none" w:sz="0" w:space="0" w:color="auto"/>
        <w:bottom w:val="none" w:sz="0" w:space="0" w:color="auto"/>
        <w:right w:val="none" w:sz="0" w:space="0" w:color="auto"/>
      </w:divBdr>
    </w:div>
    <w:div w:id="766270788">
      <w:bodyDiv w:val="1"/>
      <w:marLeft w:val="0"/>
      <w:marRight w:val="0"/>
      <w:marTop w:val="0"/>
      <w:marBottom w:val="0"/>
      <w:divBdr>
        <w:top w:val="none" w:sz="0" w:space="0" w:color="auto"/>
        <w:left w:val="none" w:sz="0" w:space="0" w:color="auto"/>
        <w:bottom w:val="none" w:sz="0" w:space="0" w:color="auto"/>
        <w:right w:val="none" w:sz="0" w:space="0" w:color="auto"/>
      </w:divBdr>
    </w:div>
    <w:div w:id="766997203">
      <w:bodyDiv w:val="1"/>
      <w:marLeft w:val="0"/>
      <w:marRight w:val="0"/>
      <w:marTop w:val="0"/>
      <w:marBottom w:val="0"/>
      <w:divBdr>
        <w:top w:val="none" w:sz="0" w:space="0" w:color="auto"/>
        <w:left w:val="none" w:sz="0" w:space="0" w:color="auto"/>
        <w:bottom w:val="none" w:sz="0" w:space="0" w:color="auto"/>
        <w:right w:val="none" w:sz="0" w:space="0" w:color="auto"/>
      </w:divBdr>
    </w:div>
    <w:div w:id="772287344">
      <w:bodyDiv w:val="1"/>
      <w:marLeft w:val="0"/>
      <w:marRight w:val="0"/>
      <w:marTop w:val="0"/>
      <w:marBottom w:val="0"/>
      <w:divBdr>
        <w:top w:val="none" w:sz="0" w:space="0" w:color="auto"/>
        <w:left w:val="none" w:sz="0" w:space="0" w:color="auto"/>
        <w:bottom w:val="none" w:sz="0" w:space="0" w:color="auto"/>
        <w:right w:val="none" w:sz="0" w:space="0" w:color="auto"/>
      </w:divBdr>
    </w:div>
    <w:div w:id="777289035">
      <w:bodyDiv w:val="1"/>
      <w:marLeft w:val="0"/>
      <w:marRight w:val="0"/>
      <w:marTop w:val="0"/>
      <w:marBottom w:val="0"/>
      <w:divBdr>
        <w:top w:val="none" w:sz="0" w:space="0" w:color="auto"/>
        <w:left w:val="none" w:sz="0" w:space="0" w:color="auto"/>
        <w:bottom w:val="none" w:sz="0" w:space="0" w:color="auto"/>
        <w:right w:val="none" w:sz="0" w:space="0" w:color="auto"/>
      </w:divBdr>
    </w:div>
    <w:div w:id="779908512">
      <w:bodyDiv w:val="1"/>
      <w:marLeft w:val="0"/>
      <w:marRight w:val="0"/>
      <w:marTop w:val="0"/>
      <w:marBottom w:val="0"/>
      <w:divBdr>
        <w:top w:val="none" w:sz="0" w:space="0" w:color="auto"/>
        <w:left w:val="none" w:sz="0" w:space="0" w:color="auto"/>
        <w:bottom w:val="none" w:sz="0" w:space="0" w:color="auto"/>
        <w:right w:val="none" w:sz="0" w:space="0" w:color="auto"/>
      </w:divBdr>
    </w:div>
    <w:div w:id="795634823">
      <w:bodyDiv w:val="1"/>
      <w:marLeft w:val="0"/>
      <w:marRight w:val="0"/>
      <w:marTop w:val="0"/>
      <w:marBottom w:val="0"/>
      <w:divBdr>
        <w:top w:val="none" w:sz="0" w:space="0" w:color="auto"/>
        <w:left w:val="none" w:sz="0" w:space="0" w:color="auto"/>
        <w:bottom w:val="none" w:sz="0" w:space="0" w:color="auto"/>
        <w:right w:val="none" w:sz="0" w:space="0" w:color="auto"/>
      </w:divBdr>
    </w:div>
    <w:div w:id="796216338">
      <w:bodyDiv w:val="1"/>
      <w:marLeft w:val="0"/>
      <w:marRight w:val="0"/>
      <w:marTop w:val="0"/>
      <w:marBottom w:val="0"/>
      <w:divBdr>
        <w:top w:val="none" w:sz="0" w:space="0" w:color="auto"/>
        <w:left w:val="none" w:sz="0" w:space="0" w:color="auto"/>
        <w:bottom w:val="none" w:sz="0" w:space="0" w:color="auto"/>
        <w:right w:val="none" w:sz="0" w:space="0" w:color="auto"/>
      </w:divBdr>
    </w:div>
    <w:div w:id="797988380">
      <w:bodyDiv w:val="1"/>
      <w:marLeft w:val="0"/>
      <w:marRight w:val="0"/>
      <w:marTop w:val="0"/>
      <w:marBottom w:val="0"/>
      <w:divBdr>
        <w:top w:val="none" w:sz="0" w:space="0" w:color="auto"/>
        <w:left w:val="none" w:sz="0" w:space="0" w:color="auto"/>
        <w:bottom w:val="none" w:sz="0" w:space="0" w:color="auto"/>
        <w:right w:val="none" w:sz="0" w:space="0" w:color="auto"/>
      </w:divBdr>
    </w:div>
    <w:div w:id="800804945">
      <w:bodyDiv w:val="1"/>
      <w:marLeft w:val="0"/>
      <w:marRight w:val="0"/>
      <w:marTop w:val="0"/>
      <w:marBottom w:val="0"/>
      <w:divBdr>
        <w:top w:val="none" w:sz="0" w:space="0" w:color="auto"/>
        <w:left w:val="none" w:sz="0" w:space="0" w:color="auto"/>
        <w:bottom w:val="none" w:sz="0" w:space="0" w:color="auto"/>
        <w:right w:val="none" w:sz="0" w:space="0" w:color="auto"/>
      </w:divBdr>
    </w:div>
    <w:div w:id="802625034">
      <w:bodyDiv w:val="1"/>
      <w:marLeft w:val="0"/>
      <w:marRight w:val="0"/>
      <w:marTop w:val="0"/>
      <w:marBottom w:val="0"/>
      <w:divBdr>
        <w:top w:val="none" w:sz="0" w:space="0" w:color="auto"/>
        <w:left w:val="none" w:sz="0" w:space="0" w:color="auto"/>
        <w:bottom w:val="none" w:sz="0" w:space="0" w:color="auto"/>
        <w:right w:val="none" w:sz="0" w:space="0" w:color="auto"/>
      </w:divBdr>
    </w:div>
    <w:div w:id="804395520">
      <w:bodyDiv w:val="1"/>
      <w:marLeft w:val="0"/>
      <w:marRight w:val="0"/>
      <w:marTop w:val="0"/>
      <w:marBottom w:val="0"/>
      <w:divBdr>
        <w:top w:val="none" w:sz="0" w:space="0" w:color="auto"/>
        <w:left w:val="none" w:sz="0" w:space="0" w:color="auto"/>
        <w:bottom w:val="none" w:sz="0" w:space="0" w:color="auto"/>
        <w:right w:val="none" w:sz="0" w:space="0" w:color="auto"/>
      </w:divBdr>
    </w:div>
    <w:div w:id="805439912">
      <w:bodyDiv w:val="1"/>
      <w:marLeft w:val="0"/>
      <w:marRight w:val="0"/>
      <w:marTop w:val="0"/>
      <w:marBottom w:val="0"/>
      <w:divBdr>
        <w:top w:val="none" w:sz="0" w:space="0" w:color="auto"/>
        <w:left w:val="none" w:sz="0" w:space="0" w:color="auto"/>
        <w:bottom w:val="none" w:sz="0" w:space="0" w:color="auto"/>
        <w:right w:val="none" w:sz="0" w:space="0" w:color="auto"/>
      </w:divBdr>
    </w:div>
    <w:div w:id="807866811">
      <w:bodyDiv w:val="1"/>
      <w:marLeft w:val="0"/>
      <w:marRight w:val="0"/>
      <w:marTop w:val="0"/>
      <w:marBottom w:val="0"/>
      <w:divBdr>
        <w:top w:val="none" w:sz="0" w:space="0" w:color="auto"/>
        <w:left w:val="none" w:sz="0" w:space="0" w:color="auto"/>
        <w:bottom w:val="none" w:sz="0" w:space="0" w:color="auto"/>
        <w:right w:val="none" w:sz="0" w:space="0" w:color="auto"/>
      </w:divBdr>
    </w:div>
    <w:div w:id="809977256">
      <w:bodyDiv w:val="1"/>
      <w:marLeft w:val="0"/>
      <w:marRight w:val="0"/>
      <w:marTop w:val="0"/>
      <w:marBottom w:val="0"/>
      <w:divBdr>
        <w:top w:val="none" w:sz="0" w:space="0" w:color="auto"/>
        <w:left w:val="none" w:sz="0" w:space="0" w:color="auto"/>
        <w:bottom w:val="none" w:sz="0" w:space="0" w:color="auto"/>
        <w:right w:val="none" w:sz="0" w:space="0" w:color="auto"/>
      </w:divBdr>
    </w:div>
    <w:div w:id="811823745">
      <w:bodyDiv w:val="1"/>
      <w:marLeft w:val="0"/>
      <w:marRight w:val="0"/>
      <w:marTop w:val="0"/>
      <w:marBottom w:val="0"/>
      <w:divBdr>
        <w:top w:val="none" w:sz="0" w:space="0" w:color="auto"/>
        <w:left w:val="none" w:sz="0" w:space="0" w:color="auto"/>
        <w:bottom w:val="none" w:sz="0" w:space="0" w:color="auto"/>
        <w:right w:val="none" w:sz="0" w:space="0" w:color="auto"/>
      </w:divBdr>
    </w:div>
    <w:div w:id="813566532">
      <w:bodyDiv w:val="1"/>
      <w:marLeft w:val="0"/>
      <w:marRight w:val="0"/>
      <w:marTop w:val="0"/>
      <w:marBottom w:val="0"/>
      <w:divBdr>
        <w:top w:val="none" w:sz="0" w:space="0" w:color="auto"/>
        <w:left w:val="none" w:sz="0" w:space="0" w:color="auto"/>
        <w:bottom w:val="none" w:sz="0" w:space="0" w:color="auto"/>
        <w:right w:val="none" w:sz="0" w:space="0" w:color="auto"/>
      </w:divBdr>
    </w:div>
    <w:div w:id="818959613">
      <w:bodyDiv w:val="1"/>
      <w:marLeft w:val="0"/>
      <w:marRight w:val="0"/>
      <w:marTop w:val="0"/>
      <w:marBottom w:val="0"/>
      <w:divBdr>
        <w:top w:val="none" w:sz="0" w:space="0" w:color="auto"/>
        <w:left w:val="none" w:sz="0" w:space="0" w:color="auto"/>
        <w:bottom w:val="none" w:sz="0" w:space="0" w:color="auto"/>
        <w:right w:val="none" w:sz="0" w:space="0" w:color="auto"/>
      </w:divBdr>
    </w:div>
    <w:div w:id="822937390">
      <w:bodyDiv w:val="1"/>
      <w:marLeft w:val="0"/>
      <w:marRight w:val="0"/>
      <w:marTop w:val="0"/>
      <w:marBottom w:val="0"/>
      <w:divBdr>
        <w:top w:val="none" w:sz="0" w:space="0" w:color="auto"/>
        <w:left w:val="none" w:sz="0" w:space="0" w:color="auto"/>
        <w:bottom w:val="none" w:sz="0" w:space="0" w:color="auto"/>
        <w:right w:val="none" w:sz="0" w:space="0" w:color="auto"/>
      </w:divBdr>
    </w:div>
    <w:div w:id="827984439">
      <w:bodyDiv w:val="1"/>
      <w:marLeft w:val="0"/>
      <w:marRight w:val="0"/>
      <w:marTop w:val="0"/>
      <w:marBottom w:val="0"/>
      <w:divBdr>
        <w:top w:val="none" w:sz="0" w:space="0" w:color="auto"/>
        <w:left w:val="none" w:sz="0" w:space="0" w:color="auto"/>
        <w:bottom w:val="none" w:sz="0" w:space="0" w:color="auto"/>
        <w:right w:val="none" w:sz="0" w:space="0" w:color="auto"/>
      </w:divBdr>
    </w:div>
    <w:div w:id="828253037">
      <w:bodyDiv w:val="1"/>
      <w:marLeft w:val="0"/>
      <w:marRight w:val="0"/>
      <w:marTop w:val="0"/>
      <w:marBottom w:val="0"/>
      <w:divBdr>
        <w:top w:val="none" w:sz="0" w:space="0" w:color="auto"/>
        <w:left w:val="none" w:sz="0" w:space="0" w:color="auto"/>
        <w:bottom w:val="none" w:sz="0" w:space="0" w:color="auto"/>
        <w:right w:val="none" w:sz="0" w:space="0" w:color="auto"/>
      </w:divBdr>
    </w:div>
    <w:div w:id="833645344">
      <w:bodyDiv w:val="1"/>
      <w:marLeft w:val="0"/>
      <w:marRight w:val="0"/>
      <w:marTop w:val="0"/>
      <w:marBottom w:val="0"/>
      <w:divBdr>
        <w:top w:val="none" w:sz="0" w:space="0" w:color="auto"/>
        <w:left w:val="none" w:sz="0" w:space="0" w:color="auto"/>
        <w:bottom w:val="none" w:sz="0" w:space="0" w:color="auto"/>
        <w:right w:val="none" w:sz="0" w:space="0" w:color="auto"/>
      </w:divBdr>
    </w:div>
    <w:div w:id="849493850">
      <w:bodyDiv w:val="1"/>
      <w:marLeft w:val="0"/>
      <w:marRight w:val="0"/>
      <w:marTop w:val="0"/>
      <w:marBottom w:val="0"/>
      <w:divBdr>
        <w:top w:val="none" w:sz="0" w:space="0" w:color="auto"/>
        <w:left w:val="none" w:sz="0" w:space="0" w:color="auto"/>
        <w:bottom w:val="none" w:sz="0" w:space="0" w:color="auto"/>
        <w:right w:val="none" w:sz="0" w:space="0" w:color="auto"/>
      </w:divBdr>
    </w:div>
    <w:div w:id="850341611">
      <w:bodyDiv w:val="1"/>
      <w:marLeft w:val="0"/>
      <w:marRight w:val="0"/>
      <w:marTop w:val="0"/>
      <w:marBottom w:val="0"/>
      <w:divBdr>
        <w:top w:val="none" w:sz="0" w:space="0" w:color="auto"/>
        <w:left w:val="none" w:sz="0" w:space="0" w:color="auto"/>
        <w:bottom w:val="none" w:sz="0" w:space="0" w:color="auto"/>
        <w:right w:val="none" w:sz="0" w:space="0" w:color="auto"/>
      </w:divBdr>
    </w:div>
    <w:div w:id="857735992">
      <w:bodyDiv w:val="1"/>
      <w:marLeft w:val="0"/>
      <w:marRight w:val="0"/>
      <w:marTop w:val="0"/>
      <w:marBottom w:val="0"/>
      <w:divBdr>
        <w:top w:val="none" w:sz="0" w:space="0" w:color="auto"/>
        <w:left w:val="none" w:sz="0" w:space="0" w:color="auto"/>
        <w:bottom w:val="none" w:sz="0" w:space="0" w:color="auto"/>
        <w:right w:val="none" w:sz="0" w:space="0" w:color="auto"/>
      </w:divBdr>
    </w:div>
    <w:div w:id="862934154">
      <w:bodyDiv w:val="1"/>
      <w:marLeft w:val="0"/>
      <w:marRight w:val="0"/>
      <w:marTop w:val="0"/>
      <w:marBottom w:val="0"/>
      <w:divBdr>
        <w:top w:val="none" w:sz="0" w:space="0" w:color="auto"/>
        <w:left w:val="none" w:sz="0" w:space="0" w:color="auto"/>
        <w:bottom w:val="none" w:sz="0" w:space="0" w:color="auto"/>
        <w:right w:val="none" w:sz="0" w:space="0" w:color="auto"/>
      </w:divBdr>
    </w:div>
    <w:div w:id="864565184">
      <w:bodyDiv w:val="1"/>
      <w:marLeft w:val="0"/>
      <w:marRight w:val="0"/>
      <w:marTop w:val="0"/>
      <w:marBottom w:val="0"/>
      <w:divBdr>
        <w:top w:val="none" w:sz="0" w:space="0" w:color="auto"/>
        <w:left w:val="none" w:sz="0" w:space="0" w:color="auto"/>
        <w:bottom w:val="none" w:sz="0" w:space="0" w:color="auto"/>
        <w:right w:val="none" w:sz="0" w:space="0" w:color="auto"/>
      </w:divBdr>
    </w:div>
    <w:div w:id="870917969">
      <w:bodyDiv w:val="1"/>
      <w:marLeft w:val="0"/>
      <w:marRight w:val="0"/>
      <w:marTop w:val="0"/>
      <w:marBottom w:val="0"/>
      <w:divBdr>
        <w:top w:val="none" w:sz="0" w:space="0" w:color="auto"/>
        <w:left w:val="none" w:sz="0" w:space="0" w:color="auto"/>
        <w:bottom w:val="none" w:sz="0" w:space="0" w:color="auto"/>
        <w:right w:val="none" w:sz="0" w:space="0" w:color="auto"/>
      </w:divBdr>
    </w:div>
    <w:div w:id="874779555">
      <w:bodyDiv w:val="1"/>
      <w:marLeft w:val="0"/>
      <w:marRight w:val="0"/>
      <w:marTop w:val="0"/>
      <w:marBottom w:val="0"/>
      <w:divBdr>
        <w:top w:val="none" w:sz="0" w:space="0" w:color="auto"/>
        <w:left w:val="none" w:sz="0" w:space="0" w:color="auto"/>
        <w:bottom w:val="none" w:sz="0" w:space="0" w:color="auto"/>
        <w:right w:val="none" w:sz="0" w:space="0" w:color="auto"/>
      </w:divBdr>
    </w:div>
    <w:div w:id="879053971">
      <w:bodyDiv w:val="1"/>
      <w:marLeft w:val="0"/>
      <w:marRight w:val="0"/>
      <w:marTop w:val="0"/>
      <w:marBottom w:val="0"/>
      <w:divBdr>
        <w:top w:val="none" w:sz="0" w:space="0" w:color="auto"/>
        <w:left w:val="none" w:sz="0" w:space="0" w:color="auto"/>
        <w:bottom w:val="none" w:sz="0" w:space="0" w:color="auto"/>
        <w:right w:val="none" w:sz="0" w:space="0" w:color="auto"/>
      </w:divBdr>
    </w:div>
    <w:div w:id="882988046">
      <w:bodyDiv w:val="1"/>
      <w:marLeft w:val="0"/>
      <w:marRight w:val="0"/>
      <w:marTop w:val="0"/>
      <w:marBottom w:val="0"/>
      <w:divBdr>
        <w:top w:val="none" w:sz="0" w:space="0" w:color="auto"/>
        <w:left w:val="none" w:sz="0" w:space="0" w:color="auto"/>
        <w:bottom w:val="none" w:sz="0" w:space="0" w:color="auto"/>
        <w:right w:val="none" w:sz="0" w:space="0" w:color="auto"/>
      </w:divBdr>
    </w:div>
    <w:div w:id="884803133">
      <w:bodyDiv w:val="1"/>
      <w:marLeft w:val="0"/>
      <w:marRight w:val="0"/>
      <w:marTop w:val="0"/>
      <w:marBottom w:val="0"/>
      <w:divBdr>
        <w:top w:val="none" w:sz="0" w:space="0" w:color="auto"/>
        <w:left w:val="none" w:sz="0" w:space="0" w:color="auto"/>
        <w:bottom w:val="none" w:sz="0" w:space="0" w:color="auto"/>
        <w:right w:val="none" w:sz="0" w:space="0" w:color="auto"/>
      </w:divBdr>
    </w:div>
    <w:div w:id="887375956">
      <w:bodyDiv w:val="1"/>
      <w:marLeft w:val="0"/>
      <w:marRight w:val="0"/>
      <w:marTop w:val="0"/>
      <w:marBottom w:val="0"/>
      <w:divBdr>
        <w:top w:val="none" w:sz="0" w:space="0" w:color="auto"/>
        <w:left w:val="none" w:sz="0" w:space="0" w:color="auto"/>
        <w:bottom w:val="none" w:sz="0" w:space="0" w:color="auto"/>
        <w:right w:val="none" w:sz="0" w:space="0" w:color="auto"/>
      </w:divBdr>
    </w:div>
    <w:div w:id="887454968">
      <w:bodyDiv w:val="1"/>
      <w:marLeft w:val="0"/>
      <w:marRight w:val="0"/>
      <w:marTop w:val="0"/>
      <w:marBottom w:val="0"/>
      <w:divBdr>
        <w:top w:val="none" w:sz="0" w:space="0" w:color="auto"/>
        <w:left w:val="none" w:sz="0" w:space="0" w:color="auto"/>
        <w:bottom w:val="none" w:sz="0" w:space="0" w:color="auto"/>
        <w:right w:val="none" w:sz="0" w:space="0" w:color="auto"/>
      </w:divBdr>
    </w:div>
    <w:div w:id="888034070">
      <w:bodyDiv w:val="1"/>
      <w:marLeft w:val="0"/>
      <w:marRight w:val="0"/>
      <w:marTop w:val="0"/>
      <w:marBottom w:val="0"/>
      <w:divBdr>
        <w:top w:val="none" w:sz="0" w:space="0" w:color="auto"/>
        <w:left w:val="none" w:sz="0" w:space="0" w:color="auto"/>
        <w:bottom w:val="none" w:sz="0" w:space="0" w:color="auto"/>
        <w:right w:val="none" w:sz="0" w:space="0" w:color="auto"/>
      </w:divBdr>
    </w:div>
    <w:div w:id="892043116">
      <w:bodyDiv w:val="1"/>
      <w:marLeft w:val="0"/>
      <w:marRight w:val="0"/>
      <w:marTop w:val="0"/>
      <w:marBottom w:val="0"/>
      <w:divBdr>
        <w:top w:val="none" w:sz="0" w:space="0" w:color="auto"/>
        <w:left w:val="none" w:sz="0" w:space="0" w:color="auto"/>
        <w:bottom w:val="none" w:sz="0" w:space="0" w:color="auto"/>
        <w:right w:val="none" w:sz="0" w:space="0" w:color="auto"/>
      </w:divBdr>
    </w:div>
    <w:div w:id="899173296">
      <w:bodyDiv w:val="1"/>
      <w:marLeft w:val="0"/>
      <w:marRight w:val="0"/>
      <w:marTop w:val="0"/>
      <w:marBottom w:val="0"/>
      <w:divBdr>
        <w:top w:val="none" w:sz="0" w:space="0" w:color="auto"/>
        <w:left w:val="none" w:sz="0" w:space="0" w:color="auto"/>
        <w:bottom w:val="none" w:sz="0" w:space="0" w:color="auto"/>
        <w:right w:val="none" w:sz="0" w:space="0" w:color="auto"/>
      </w:divBdr>
      <w:divsChild>
        <w:div w:id="293365371">
          <w:marLeft w:val="0"/>
          <w:marRight w:val="0"/>
          <w:marTop w:val="0"/>
          <w:marBottom w:val="0"/>
          <w:divBdr>
            <w:top w:val="none" w:sz="0" w:space="0" w:color="auto"/>
            <w:left w:val="none" w:sz="0" w:space="0" w:color="auto"/>
            <w:bottom w:val="none" w:sz="0" w:space="0" w:color="auto"/>
            <w:right w:val="none" w:sz="0" w:space="0" w:color="auto"/>
          </w:divBdr>
          <w:divsChild>
            <w:div w:id="1531257642">
              <w:marLeft w:val="-225"/>
              <w:marRight w:val="-225"/>
              <w:marTop w:val="0"/>
              <w:marBottom w:val="0"/>
              <w:divBdr>
                <w:top w:val="none" w:sz="0" w:space="0" w:color="auto"/>
                <w:left w:val="none" w:sz="0" w:space="0" w:color="auto"/>
                <w:bottom w:val="none" w:sz="0" w:space="0" w:color="auto"/>
                <w:right w:val="none" w:sz="0" w:space="0" w:color="auto"/>
              </w:divBdr>
              <w:divsChild>
                <w:div w:id="1368725538">
                  <w:marLeft w:val="0"/>
                  <w:marRight w:val="0"/>
                  <w:marTop w:val="0"/>
                  <w:marBottom w:val="0"/>
                  <w:divBdr>
                    <w:top w:val="none" w:sz="0" w:space="0" w:color="auto"/>
                    <w:left w:val="none" w:sz="0" w:space="0" w:color="auto"/>
                    <w:bottom w:val="none" w:sz="0" w:space="0" w:color="auto"/>
                    <w:right w:val="none" w:sz="0" w:space="0" w:color="auto"/>
                  </w:divBdr>
                  <w:divsChild>
                    <w:div w:id="1095325537">
                      <w:marLeft w:val="-225"/>
                      <w:marRight w:val="-225"/>
                      <w:marTop w:val="0"/>
                      <w:marBottom w:val="0"/>
                      <w:divBdr>
                        <w:top w:val="none" w:sz="0" w:space="0" w:color="auto"/>
                        <w:left w:val="none" w:sz="0" w:space="0" w:color="auto"/>
                        <w:bottom w:val="none" w:sz="0" w:space="0" w:color="auto"/>
                        <w:right w:val="none" w:sz="0" w:space="0" w:color="auto"/>
                      </w:divBdr>
                      <w:divsChild>
                        <w:div w:id="2126924403">
                          <w:marLeft w:val="0"/>
                          <w:marRight w:val="0"/>
                          <w:marTop w:val="0"/>
                          <w:marBottom w:val="0"/>
                          <w:divBdr>
                            <w:top w:val="none" w:sz="0" w:space="0" w:color="auto"/>
                            <w:left w:val="none" w:sz="0" w:space="0" w:color="auto"/>
                            <w:bottom w:val="none" w:sz="0" w:space="0" w:color="auto"/>
                            <w:right w:val="none" w:sz="0" w:space="0" w:color="auto"/>
                          </w:divBdr>
                          <w:divsChild>
                            <w:div w:id="1683975199">
                              <w:marLeft w:val="0"/>
                              <w:marRight w:val="0"/>
                              <w:marTop w:val="0"/>
                              <w:marBottom w:val="0"/>
                              <w:divBdr>
                                <w:top w:val="none" w:sz="0" w:space="0" w:color="auto"/>
                                <w:left w:val="none" w:sz="0" w:space="0" w:color="auto"/>
                                <w:bottom w:val="none" w:sz="0" w:space="0" w:color="auto"/>
                                <w:right w:val="none" w:sz="0" w:space="0" w:color="auto"/>
                              </w:divBdr>
                              <w:divsChild>
                                <w:div w:id="1062681066">
                                  <w:marLeft w:val="0"/>
                                  <w:marRight w:val="0"/>
                                  <w:marTop w:val="0"/>
                                  <w:marBottom w:val="0"/>
                                  <w:divBdr>
                                    <w:top w:val="none" w:sz="0" w:space="0" w:color="auto"/>
                                    <w:left w:val="none" w:sz="0" w:space="0" w:color="auto"/>
                                    <w:bottom w:val="none" w:sz="0" w:space="0" w:color="auto"/>
                                    <w:right w:val="none" w:sz="0" w:space="0" w:color="auto"/>
                                  </w:divBdr>
                                  <w:divsChild>
                                    <w:div w:id="995690752">
                                      <w:marLeft w:val="0"/>
                                      <w:marRight w:val="0"/>
                                      <w:marTop w:val="0"/>
                                      <w:marBottom w:val="0"/>
                                      <w:divBdr>
                                        <w:top w:val="none" w:sz="0" w:space="0" w:color="auto"/>
                                        <w:left w:val="none" w:sz="0" w:space="0" w:color="auto"/>
                                        <w:bottom w:val="none" w:sz="0" w:space="0" w:color="auto"/>
                                        <w:right w:val="none" w:sz="0" w:space="0" w:color="auto"/>
                                      </w:divBdr>
                                      <w:divsChild>
                                        <w:div w:id="1930310905">
                                          <w:marLeft w:val="0"/>
                                          <w:marRight w:val="0"/>
                                          <w:marTop w:val="0"/>
                                          <w:marBottom w:val="0"/>
                                          <w:divBdr>
                                            <w:top w:val="none" w:sz="0" w:space="0" w:color="auto"/>
                                            <w:left w:val="none" w:sz="0" w:space="0" w:color="auto"/>
                                            <w:bottom w:val="none" w:sz="0" w:space="0" w:color="auto"/>
                                            <w:right w:val="none" w:sz="0" w:space="0" w:color="auto"/>
                                          </w:divBdr>
                                          <w:divsChild>
                                            <w:div w:id="2048069029">
                                              <w:marLeft w:val="0"/>
                                              <w:marRight w:val="0"/>
                                              <w:marTop w:val="0"/>
                                              <w:marBottom w:val="0"/>
                                              <w:divBdr>
                                                <w:top w:val="none" w:sz="0" w:space="0" w:color="auto"/>
                                                <w:left w:val="none" w:sz="0" w:space="0" w:color="auto"/>
                                                <w:bottom w:val="none" w:sz="0" w:space="0" w:color="auto"/>
                                                <w:right w:val="none" w:sz="0" w:space="0" w:color="auto"/>
                                              </w:divBdr>
                                              <w:divsChild>
                                                <w:div w:id="884754610">
                                                  <w:marLeft w:val="0"/>
                                                  <w:marRight w:val="0"/>
                                                  <w:marTop w:val="0"/>
                                                  <w:marBottom w:val="0"/>
                                                  <w:divBdr>
                                                    <w:top w:val="none" w:sz="0" w:space="0" w:color="auto"/>
                                                    <w:left w:val="none" w:sz="0" w:space="0" w:color="auto"/>
                                                    <w:bottom w:val="none" w:sz="0" w:space="0" w:color="auto"/>
                                                    <w:right w:val="none" w:sz="0" w:space="0" w:color="auto"/>
                                                  </w:divBdr>
                                                  <w:divsChild>
                                                    <w:div w:id="259992550">
                                                      <w:marLeft w:val="0"/>
                                                      <w:marRight w:val="0"/>
                                                      <w:marTop w:val="0"/>
                                                      <w:marBottom w:val="0"/>
                                                      <w:divBdr>
                                                        <w:top w:val="none" w:sz="0" w:space="0" w:color="auto"/>
                                                        <w:left w:val="none" w:sz="0" w:space="0" w:color="auto"/>
                                                        <w:bottom w:val="none" w:sz="0" w:space="0" w:color="auto"/>
                                                        <w:right w:val="none" w:sz="0" w:space="0" w:color="auto"/>
                                                      </w:divBdr>
                                                      <w:divsChild>
                                                        <w:div w:id="524756908">
                                                          <w:marLeft w:val="0"/>
                                                          <w:marRight w:val="0"/>
                                                          <w:marTop w:val="0"/>
                                                          <w:marBottom w:val="0"/>
                                                          <w:divBdr>
                                                            <w:top w:val="none" w:sz="0" w:space="0" w:color="auto"/>
                                                            <w:left w:val="none" w:sz="0" w:space="0" w:color="auto"/>
                                                            <w:bottom w:val="none" w:sz="0" w:space="0" w:color="auto"/>
                                                            <w:right w:val="none" w:sz="0" w:space="0" w:color="auto"/>
                                                          </w:divBdr>
                                                          <w:divsChild>
                                                            <w:div w:id="2100104270">
                                                              <w:marLeft w:val="0"/>
                                                              <w:marRight w:val="0"/>
                                                              <w:marTop w:val="0"/>
                                                              <w:marBottom w:val="0"/>
                                                              <w:divBdr>
                                                                <w:top w:val="none" w:sz="0" w:space="0" w:color="auto"/>
                                                                <w:left w:val="none" w:sz="0" w:space="0" w:color="auto"/>
                                                                <w:bottom w:val="none" w:sz="0" w:space="0" w:color="auto"/>
                                                                <w:right w:val="none" w:sz="0" w:space="0" w:color="auto"/>
                                                              </w:divBdr>
                                                              <w:divsChild>
                                                                <w:div w:id="1105855184">
                                                                  <w:marLeft w:val="0"/>
                                                                  <w:marRight w:val="0"/>
                                                                  <w:marTop w:val="0"/>
                                                                  <w:marBottom w:val="0"/>
                                                                  <w:divBdr>
                                                                    <w:top w:val="none" w:sz="0" w:space="0" w:color="auto"/>
                                                                    <w:left w:val="none" w:sz="0" w:space="0" w:color="auto"/>
                                                                    <w:bottom w:val="none" w:sz="0" w:space="0" w:color="auto"/>
                                                                    <w:right w:val="none" w:sz="0" w:space="0" w:color="auto"/>
                                                                  </w:divBdr>
                                                                  <w:divsChild>
                                                                    <w:div w:id="687635173">
                                                                      <w:marLeft w:val="0"/>
                                                                      <w:marRight w:val="0"/>
                                                                      <w:marTop w:val="0"/>
                                                                      <w:marBottom w:val="0"/>
                                                                      <w:divBdr>
                                                                        <w:top w:val="none" w:sz="0" w:space="0" w:color="auto"/>
                                                                        <w:left w:val="none" w:sz="0" w:space="0" w:color="auto"/>
                                                                        <w:bottom w:val="none" w:sz="0" w:space="0" w:color="auto"/>
                                                                        <w:right w:val="none" w:sz="0" w:space="0" w:color="auto"/>
                                                                      </w:divBdr>
                                                                    </w:div>
                                                                    <w:div w:id="203195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01602141">
      <w:bodyDiv w:val="1"/>
      <w:marLeft w:val="0"/>
      <w:marRight w:val="0"/>
      <w:marTop w:val="0"/>
      <w:marBottom w:val="0"/>
      <w:divBdr>
        <w:top w:val="none" w:sz="0" w:space="0" w:color="auto"/>
        <w:left w:val="none" w:sz="0" w:space="0" w:color="auto"/>
        <w:bottom w:val="none" w:sz="0" w:space="0" w:color="auto"/>
        <w:right w:val="none" w:sz="0" w:space="0" w:color="auto"/>
      </w:divBdr>
    </w:div>
    <w:div w:id="902368286">
      <w:bodyDiv w:val="1"/>
      <w:marLeft w:val="0"/>
      <w:marRight w:val="0"/>
      <w:marTop w:val="0"/>
      <w:marBottom w:val="0"/>
      <w:divBdr>
        <w:top w:val="none" w:sz="0" w:space="0" w:color="auto"/>
        <w:left w:val="none" w:sz="0" w:space="0" w:color="auto"/>
        <w:bottom w:val="none" w:sz="0" w:space="0" w:color="auto"/>
        <w:right w:val="none" w:sz="0" w:space="0" w:color="auto"/>
      </w:divBdr>
    </w:div>
    <w:div w:id="904530144">
      <w:bodyDiv w:val="1"/>
      <w:marLeft w:val="0"/>
      <w:marRight w:val="0"/>
      <w:marTop w:val="0"/>
      <w:marBottom w:val="0"/>
      <w:divBdr>
        <w:top w:val="none" w:sz="0" w:space="0" w:color="auto"/>
        <w:left w:val="none" w:sz="0" w:space="0" w:color="auto"/>
        <w:bottom w:val="none" w:sz="0" w:space="0" w:color="auto"/>
        <w:right w:val="none" w:sz="0" w:space="0" w:color="auto"/>
      </w:divBdr>
    </w:div>
    <w:div w:id="906575027">
      <w:bodyDiv w:val="1"/>
      <w:marLeft w:val="0"/>
      <w:marRight w:val="0"/>
      <w:marTop w:val="0"/>
      <w:marBottom w:val="0"/>
      <w:divBdr>
        <w:top w:val="none" w:sz="0" w:space="0" w:color="auto"/>
        <w:left w:val="none" w:sz="0" w:space="0" w:color="auto"/>
        <w:bottom w:val="none" w:sz="0" w:space="0" w:color="auto"/>
        <w:right w:val="none" w:sz="0" w:space="0" w:color="auto"/>
      </w:divBdr>
    </w:div>
    <w:div w:id="910384911">
      <w:bodyDiv w:val="1"/>
      <w:marLeft w:val="0"/>
      <w:marRight w:val="0"/>
      <w:marTop w:val="0"/>
      <w:marBottom w:val="0"/>
      <w:divBdr>
        <w:top w:val="none" w:sz="0" w:space="0" w:color="auto"/>
        <w:left w:val="none" w:sz="0" w:space="0" w:color="auto"/>
        <w:bottom w:val="none" w:sz="0" w:space="0" w:color="auto"/>
        <w:right w:val="none" w:sz="0" w:space="0" w:color="auto"/>
      </w:divBdr>
    </w:div>
    <w:div w:id="917058073">
      <w:bodyDiv w:val="1"/>
      <w:marLeft w:val="0"/>
      <w:marRight w:val="0"/>
      <w:marTop w:val="0"/>
      <w:marBottom w:val="0"/>
      <w:divBdr>
        <w:top w:val="none" w:sz="0" w:space="0" w:color="auto"/>
        <w:left w:val="none" w:sz="0" w:space="0" w:color="auto"/>
        <w:bottom w:val="none" w:sz="0" w:space="0" w:color="auto"/>
        <w:right w:val="none" w:sz="0" w:space="0" w:color="auto"/>
      </w:divBdr>
    </w:div>
    <w:div w:id="917595647">
      <w:bodyDiv w:val="1"/>
      <w:marLeft w:val="0"/>
      <w:marRight w:val="0"/>
      <w:marTop w:val="0"/>
      <w:marBottom w:val="0"/>
      <w:divBdr>
        <w:top w:val="none" w:sz="0" w:space="0" w:color="auto"/>
        <w:left w:val="none" w:sz="0" w:space="0" w:color="auto"/>
        <w:bottom w:val="none" w:sz="0" w:space="0" w:color="auto"/>
        <w:right w:val="none" w:sz="0" w:space="0" w:color="auto"/>
      </w:divBdr>
    </w:div>
    <w:div w:id="917638526">
      <w:bodyDiv w:val="1"/>
      <w:marLeft w:val="0"/>
      <w:marRight w:val="0"/>
      <w:marTop w:val="0"/>
      <w:marBottom w:val="0"/>
      <w:divBdr>
        <w:top w:val="none" w:sz="0" w:space="0" w:color="auto"/>
        <w:left w:val="none" w:sz="0" w:space="0" w:color="auto"/>
        <w:bottom w:val="none" w:sz="0" w:space="0" w:color="auto"/>
        <w:right w:val="none" w:sz="0" w:space="0" w:color="auto"/>
      </w:divBdr>
    </w:div>
    <w:div w:id="922227848">
      <w:bodyDiv w:val="1"/>
      <w:marLeft w:val="0"/>
      <w:marRight w:val="0"/>
      <w:marTop w:val="0"/>
      <w:marBottom w:val="0"/>
      <w:divBdr>
        <w:top w:val="none" w:sz="0" w:space="0" w:color="auto"/>
        <w:left w:val="none" w:sz="0" w:space="0" w:color="auto"/>
        <w:bottom w:val="none" w:sz="0" w:space="0" w:color="auto"/>
        <w:right w:val="none" w:sz="0" w:space="0" w:color="auto"/>
      </w:divBdr>
    </w:div>
    <w:div w:id="931546861">
      <w:bodyDiv w:val="1"/>
      <w:marLeft w:val="0"/>
      <w:marRight w:val="0"/>
      <w:marTop w:val="0"/>
      <w:marBottom w:val="0"/>
      <w:divBdr>
        <w:top w:val="none" w:sz="0" w:space="0" w:color="auto"/>
        <w:left w:val="none" w:sz="0" w:space="0" w:color="auto"/>
        <w:bottom w:val="none" w:sz="0" w:space="0" w:color="auto"/>
        <w:right w:val="none" w:sz="0" w:space="0" w:color="auto"/>
      </w:divBdr>
    </w:div>
    <w:div w:id="940185323">
      <w:bodyDiv w:val="1"/>
      <w:marLeft w:val="0"/>
      <w:marRight w:val="0"/>
      <w:marTop w:val="0"/>
      <w:marBottom w:val="0"/>
      <w:divBdr>
        <w:top w:val="none" w:sz="0" w:space="0" w:color="auto"/>
        <w:left w:val="none" w:sz="0" w:space="0" w:color="auto"/>
        <w:bottom w:val="none" w:sz="0" w:space="0" w:color="auto"/>
        <w:right w:val="none" w:sz="0" w:space="0" w:color="auto"/>
      </w:divBdr>
    </w:div>
    <w:div w:id="940576395">
      <w:bodyDiv w:val="1"/>
      <w:marLeft w:val="0"/>
      <w:marRight w:val="0"/>
      <w:marTop w:val="0"/>
      <w:marBottom w:val="0"/>
      <w:divBdr>
        <w:top w:val="none" w:sz="0" w:space="0" w:color="auto"/>
        <w:left w:val="none" w:sz="0" w:space="0" w:color="auto"/>
        <w:bottom w:val="none" w:sz="0" w:space="0" w:color="auto"/>
        <w:right w:val="none" w:sz="0" w:space="0" w:color="auto"/>
      </w:divBdr>
      <w:divsChild>
        <w:div w:id="1783836823">
          <w:marLeft w:val="0"/>
          <w:marRight w:val="0"/>
          <w:marTop w:val="0"/>
          <w:marBottom w:val="0"/>
          <w:divBdr>
            <w:top w:val="none" w:sz="0" w:space="0" w:color="auto"/>
            <w:left w:val="none" w:sz="0" w:space="0" w:color="auto"/>
            <w:bottom w:val="none" w:sz="0" w:space="0" w:color="auto"/>
            <w:right w:val="none" w:sz="0" w:space="0" w:color="auto"/>
          </w:divBdr>
          <w:divsChild>
            <w:div w:id="281958636">
              <w:marLeft w:val="-225"/>
              <w:marRight w:val="-225"/>
              <w:marTop w:val="0"/>
              <w:marBottom w:val="0"/>
              <w:divBdr>
                <w:top w:val="none" w:sz="0" w:space="0" w:color="auto"/>
                <w:left w:val="none" w:sz="0" w:space="0" w:color="auto"/>
                <w:bottom w:val="none" w:sz="0" w:space="0" w:color="auto"/>
                <w:right w:val="none" w:sz="0" w:space="0" w:color="auto"/>
              </w:divBdr>
              <w:divsChild>
                <w:div w:id="313874869">
                  <w:marLeft w:val="0"/>
                  <w:marRight w:val="0"/>
                  <w:marTop w:val="0"/>
                  <w:marBottom w:val="0"/>
                  <w:divBdr>
                    <w:top w:val="none" w:sz="0" w:space="0" w:color="auto"/>
                    <w:left w:val="none" w:sz="0" w:space="0" w:color="auto"/>
                    <w:bottom w:val="none" w:sz="0" w:space="0" w:color="auto"/>
                    <w:right w:val="none" w:sz="0" w:space="0" w:color="auto"/>
                  </w:divBdr>
                  <w:divsChild>
                    <w:div w:id="2059089641">
                      <w:marLeft w:val="-225"/>
                      <w:marRight w:val="-225"/>
                      <w:marTop w:val="0"/>
                      <w:marBottom w:val="0"/>
                      <w:divBdr>
                        <w:top w:val="none" w:sz="0" w:space="0" w:color="auto"/>
                        <w:left w:val="none" w:sz="0" w:space="0" w:color="auto"/>
                        <w:bottom w:val="none" w:sz="0" w:space="0" w:color="auto"/>
                        <w:right w:val="none" w:sz="0" w:space="0" w:color="auto"/>
                      </w:divBdr>
                      <w:divsChild>
                        <w:div w:id="1565068309">
                          <w:marLeft w:val="0"/>
                          <w:marRight w:val="0"/>
                          <w:marTop w:val="0"/>
                          <w:marBottom w:val="0"/>
                          <w:divBdr>
                            <w:top w:val="none" w:sz="0" w:space="0" w:color="auto"/>
                            <w:left w:val="none" w:sz="0" w:space="0" w:color="auto"/>
                            <w:bottom w:val="none" w:sz="0" w:space="0" w:color="auto"/>
                            <w:right w:val="none" w:sz="0" w:space="0" w:color="auto"/>
                          </w:divBdr>
                          <w:divsChild>
                            <w:div w:id="978875449">
                              <w:marLeft w:val="0"/>
                              <w:marRight w:val="0"/>
                              <w:marTop w:val="0"/>
                              <w:marBottom w:val="0"/>
                              <w:divBdr>
                                <w:top w:val="none" w:sz="0" w:space="0" w:color="auto"/>
                                <w:left w:val="none" w:sz="0" w:space="0" w:color="auto"/>
                                <w:bottom w:val="none" w:sz="0" w:space="0" w:color="auto"/>
                                <w:right w:val="none" w:sz="0" w:space="0" w:color="auto"/>
                              </w:divBdr>
                              <w:divsChild>
                                <w:div w:id="665791579">
                                  <w:marLeft w:val="0"/>
                                  <w:marRight w:val="0"/>
                                  <w:marTop w:val="0"/>
                                  <w:marBottom w:val="0"/>
                                  <w:divBdr>
                                    <w:top w:val="none" w:sz="0" w:space="0" w:color="auto"/>
                                    <w:left w:val="none" w:sz="0" w:space="0" w:color="auto"/>
                                    <w:bottom w:val="none" w:sz="0" w:space="0" w:color="auto"/>
                                    <w:right w:val="none" w:sz="0" w:space="0" w:color="auto"/>
                                  </w:divBdr>
                                  <w:divsChild>
                                    <w:div w:id="1258904894">
                                      <w:marLeft w:val="0"/>
                                      <w:marRight w:val="0"/>
                                      <w:marTop w:val="0"/>
                                      <w:marBottom w:val="0"/>
                                      <w:divBdr>
                                        <w:top w:val="none" w:sz="0" w:space="0" w:color="auto"/>
                                        <w:left w:val="none" w:sz="0" w:space="0" w:color="auto"/>
                                        <w:bottom w:val="none" w:sz="0" w:space="0" w:color="auto"/>
                                        <w:right w:val="none" w:sz="0" w:space="0" w:color="auto"/>
                                      </w:divBdr>
                                      <w:divsChild>
                                        <w:div w:id="922298833">
                                          <w:marLeft w:val="0"/>
                                          <w:marRight w:val="0"/>
                                          <w:marTop w:val="0"/>
                                          <w:marBottom w:val="0"/>
                                          <w:divBdr>
                                            <w:top w:val="none" w:sz="0" w:space="0" w:color="auto"/>
                                            <w:left w:val="none" w:sz="0" w:space="0" w:color="auto"/>
                                            <w:bottom w:val="none" w:sz="0" w:space="0" w:color="auto"/>
                                            <w:right w:val="none" w:sz="0" w:space="0" w:color="auto"/>
                                          </w:divBdr>
                                          <w:divsChild>
                                            <w:div w:id="920262068">
                                              <w:marLeft w:val="0"/>
                                              <w:marRight w:val="0"/>
                                              <w:marTop w:val="0"/>
                                              <w:marBottom w:val="0"/>
                                              <w:divBdr>
                                                <w:top w:val="none" w:sz="0" w:space="0" w:color="auto"/>
                                                <w:left w:val="none" w:sz="0" w:space="0" w:color="auto"/>
                                                <w:bottom w:val="none" w:sz="0" w:space="0" w:color="auto"/>
                                                <w:right w:val="none" w:sz="0" w:space="0" w:color="auto"/>
                                              </w:divBdr>
                                              <w:divsChild>
                                                <w:div w:id="2020815737">
                                                  <w:marLeft w:val="0"/>
                                                  <w:marRight w:val="0"/>
                                                  <w:marTop w:val="0"/>
                                                  <w:marBottom w:val="0"/>
                                                  <w:divBdr>
                                                    <w:top w:val="none" w:sz="0" w:space="0" w:color="auto"/>
                                                    <w:left w:val="none" w:sz="0" w:space="0" w:color="auto"/>
                                                    <w:bottom w:val="none" w:sz="0" w:space="0" w:color="auto"/>
                                                    <w:right w:val="none" w:sz="0" w:space="0" w:color="auto"/>
                                                  </w:divBdr>
                                                  <w:divsChild>
                                                    <w:div w:id="1132677945">
                                                      <w:marLeft w:val="0"/>
                                                      <w:marRight w:val="0"/>
                                                      <w:marTop w:val="0"/>
                                                      <w:marBottom w:val="0"/>
                                                      <w:divBdr>
                                                        <w:top w:val="none" w:sz="0" w:space="0" w:color="auto"/>
                                                        <w:left w:val="none" w:sz="0" w:space="0" w:color="auto"/>
                                                        <w:bottom w:val="none" w:sz="0" w:space="0" w:color="auto"/>
                                                        <w:right w:val="none" w:sz="0" w:space="0" w:color="auto"/>
                                                      </w:divBdr>
                                                      <w:divsChild>
                                                        <w:div w:id="694162705">
                                                          <w:marLeft w:val="0"/>
                                                          <w:marRight w:val="0"/>
                                                          <w:marTop w:val="0"/>
                                                          <w:marBottom w:val="0"/>
                                                          <w:divBdr>
                                                            <w:top w:val="none" w:sz="0" w:space="0" w:color="auto"/>
                                                            <w:left w:val="none" w:sz="0" w:space="0" w:color="auto"/>
                                                            <w:bottom w:val="none" w:sz="0" w:space="0" w:color="auto"/>
                                                            <w:right w:val="none" w:sz="0" w:space="0" w:color="auto"/>
                                                          </w:divBdr>
                                                          <w:divsChild>
                                                            <w:div w:id="201748682">
                                                              <w:marLeft w:val="0"/>
                                                              <w:marRight w:val="0"/>
                                                              <w:marTop w:val="0"/>
                                                              <w:marBottom w:val="0"/>
                                                              <w:divBdr>
                                                                <w:top w:val="none" w:sz="0" w:space="0" w:color="auto"/>
                                                                <w:left w:val="none" w:sz="0" w:space="0" w:color="auto"/>
                                                                <w:bottom w:val="none" w:sz="0" w:space="0" w:color="auto"/>
                                                                <w:right w:val="none" w:sz="0" w:space="0" w:color="auto"/>
                                                              </w:divBdr>
                                                              <w:divsChild>
                                                                <w:div w:id="1874658208">
                                                                  <w:marLeft w:val="0"/>
                                                                  <w:marRight w:val="0"/>
                                                                  <w:marTop w:val="0"/>
                                                                  <w:marBottom w:val="0"/>
                                                                  <w:divBdr>
                                                                    <w:top w:val="none" w:sz="0" w:space="0" w:color="auto"/>
                                                                    <w:left w:val="none" w:sz="0" w:space="0" w:color="auto"/>
                                                                    <w:bottom w:val="none" w:sz="0" w:space="0" w:color="auto"/>
                                                                    <w:right w:val="none" w:sz="0" w:space="0" w:color="auto"/>
                                                                  </w:divBdr>
                                                                  <w:divsChild>
                                                                    <w:div w:id="156522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41456483">
      <w:bodyDiv w:val="1"/>
      <w:marLeft w:val="0"/>
      <w:marRight w:val="0"/>
      <w:marTop w:val="0"/>
      <w:marBottom w:val="0"/>
      <w:divBdr>
        <w:top w:val="none" w:sz="0" w:space="0" w:color="auto"/>
        <w:left w:val="none" w:sz="0" w:space="0" w:color="auto"/>
        <w:bottom w:val="none" w:sz="0" w:space="0" w:color="auto"/>
        <w:right w:val="none" w:sz="0" w:space="0" w:color="auto"/>
      </w:divBdr>
    </w:div>
    <w:div w:id="947735440">
      <w:bodyDiv w:val="1"/>
      <w:marLeft w:val="0"/>
      <w:marRight w:val="0"/>
      <w:marTop w:val="0"/>
      <w:marBottom w:val="0"/>
      <w:divBdr>
        <w:top w:val="none" w:sz="0" w:space="0" w:color="auto"/>
        <w:left w:val="none" w:sz="0" w:space="0" w:color="auto"/>
        <w:bottom w:val="none" w:sz="0" w:space="0" w:color="auto"/>
        <w:right w:val="none" w:sz="0" w:space="0" w:color="auto"/>
      </w:divBdr>
    </w:div>
    <w:div w:id="948194627">
      <w:bodyDiv w:val="1"/>
      <w:marLeft w:val="0"/>
      <w:marRight w:val="0"/>
      <w:marTop w:val="0"/>
      <w:marBottom w:val="0"/>
      <w:divBdr>
        <w:top w:val="none" w:sz="0" w:space="0" w:color="auto"/>
        <w:left w:val="none" w:sz="0" w:space="0" w:color="auto"/>
        <w:bottom w:val="none" w:sz="0" w:space="0" w:color="auto"/>
        <w:right w:val="none" w:sz="0" w:space="0" w:color="auto"/>
      </w:divBdr>
    </w:div>
    <w:div w:id="960460914">
      <w:bodyDiv w:val="1"/>
      <w:marLeft w:val="0"/>
      <w:marRight w:val="0"/>
      <w:marTop w:val="0"/>
      <w:marBottom w:val="0"/>
      <w:divBdr>
        <w:top w:val="none" w:sz="0" w:space="0" w:color="auto"/>
        <w:left w:val="none" w:sz="0" w:space="0" w:color="auto"/>
        <w:bottom w:val="none" w:sz="0" w:space="0" w:color="auto"/>
        <w:right w:val="none" w:sz="0" w:space="0" w:color="auto"/>
      </w:divBdr>
    </w:div>
    <w:div w:id="962998156">
      <w:bodyDiv w:val="1"/>
      <w:marLeft w:val="0"/>
      <w:marRight w:val="0"/>
      <w:marTop w:val="0"/>
      <w:marBottom w:val="0"/>
      <w:divBdr>
        <w:top w:val="none" w:sz="0" w:space="0" w:color="auto"/>
        <w:left w:val="none" w:sz="0" w:space="0" w:color="auto"/>
        <w:bottom w:val="none" w:sz="0" w:space="0" w:color="auto"/>
        <w:right w:val="none" w:sz="0" w:space="0" w:color="auto"/>
      </w:divBdr>
    </w:div>
    <w:div w:id="963737072">
      <w:bodyDiv w:val="1"/>
      <w:marLeft w:val="0"/>
      <w:marRight w:val="0"/>
      <w:marTop w:val="0"/>
      <w:marBottom w:val="0"/>
      <w:divBdr>
        <w:top w:val="none" w:sz="0" w:space="0" w:color="auto"/>
        <w:left w:val="none" w:sz="0" w:space="0" w:color="auto"/>
        <w:bottom w:val="none" w:sz="0" w:space="0" w:color="auto"/>
        <w:right w:val="none" w:sz="0" w:space="0" w:color="auto"/>
      </w:divBdr>
    </w:div>
    <w:div w:id="965433408">
      <w:bodyDiv w:val="1"/>
      <w:marLeft w:val="0"/>
      <w:marRight w:val="0"/>
      <w:marTop w:val="0"/>
      <w:marBottom w:val="0"/>
      <w:divBdr>
        <w:top w:val="none" w:sz="0" w:space="0" w:color="auto"/>
        <w:left w:val="none" w:sz="0" w:space="0" w:color="auto"/>
        <w:bottom w:val="none" w:sz="0" w:space="0" w:color="auto"/>
        <w:right w:val="none" w:sz="0" w:space="0" w:color="auto"/>
      </w:divBdr>
    </w:div>
    <w:div w:id="970012614">
      <w:bodyDiv w:val="1"/>
      <w:marLeft w:val="0"/>
      <w:marRight w:val="0"/>
      <w:marTop w:val="0"/>
      <w:marBottom w:val="0"/>
      <w:divBdr>
        <w:top w:val="none" w:sz="0" w:space="0" w:color="auto"/>
        <w:left w:val="none" w:sz="0" w:space="0" w:color="auto"/>
        <w:bottom w:val="none" w:sz="0" w:space="0" w:color="auto"/>
        <w:right w:val="none" w:sz="0" w:space="0" w:color="auto"/>
      </w:divBdr>
    </w:div>
    <w:div w:id="970865302">
      <w:bodyDiv w:val="1"/>
      <w:marLeft w:val="0"/>
      <w:marRight w:val="0"/>
      <w:marTop w:val="0"/>
      <w:marBottom w:val="0"/>
      <w:divBdr>
        <w:top w:val="none" w:sz="0" w:space="0" w:color="auto"/>
        <w:left w:val="none" w:sz="0" w:space="0" w:color="auto"/>
        <w:bottom w:val="none" w:sz="0" w:space="0" w:color="auto"/>
        <w:right w:val="none" w:sz="0" w:space="0" w:color="auto"/>
      </w:divBdr>
    </w:div>
    <w:div w:id="980621076">
      <w:bodyDiv w:val="1"/>
      <w:marLeft w:val="0"/>
      <w:marRight w:val="0"/>
      <w:marTop w:val="0"/>
      <w:marBottom w:val="0"/>
      <w:divBdr>
        <w:top w:val="none" w:sz="0" w:space="0" w:color="auto"/>
        <w:left w:val="none" w:sz="0" w:space="0" w:color="auto"/>
        <w:bottom w:val="none" w:sz="0" w:space="0" w:color="auto"/>
        <w:right w:val="none" w:sz="0" w:space="0" w:color="auto"/>
      </w:divBdr>
    </w:div>
    <w:div w:id="983125398">
      <w:bodyDiv w:val="1"/>
      <w:marLeft w:val="0"/>
      <w:marRight w:val="0"/>
      <w:marTop w:val="0"/>
      <w:marBottom w:val="0"/>
      <w:divBdr>
        <w:top w:val="none" w:sz="0" w:space="0" w:color="auto"/>
        <w:left w:val="none" w:sz="0" w:space="0" w:color="auto"/>
        <w:bottom w:val="none" w:sz="0" w:space="0" w:color="auto"/>
        <w:right w:val="none" w:sz="0" w:space="0" w:color="auto"/>
      </w:divBdr>
    </w:div>
    <w:div w:id="996960687">
      <w:bodyDiv w:val="1"/>
      <w:marLeft w:val="0"/>
      <w:marRight w:val="0"/>
      <w:marTop w:val="0"/>
      <w:marBottom w:val="0"/>
      <w:divBdr>
        <w:top w:val="none" w:sz="0" w:space="0" w:color="auto"/>
        <w:left w:val="none" w:sz="0" w:space="0" w:color="auto"/>
        <w:bottom w:val="none" w:sz="0" w:space="0" w:color="auto"/>
        <w:right w:val="none" w:sz="0" w:space="0" w:color="auto"/>
      </w:divBdr>
    </w:div>
    <w:div w:id="1001860545">
      <w:bodyDiv w:val="1"/>
      <w:marLeft w:val="0"/>
      <w:marRight w:val="0"/>
      <w:marTop w:val="0"/>
      <w:marBottom w:val="0"/>
      <w:divBdr>
        <w:top w:val="none" w:sz="0" w:space="0" w:color="auto"/>
        <w:left w:val="none" w:sz="0" w:space="0" w:color="auto"/>
        <w:bottom w:val="none" w:sz="0" w:space="0" w:color="auto"/>
        <w:right w:val="none" w:sz="0" w:space="0" w:color="auto"/>
      </w:divBdr>
    </w:div>
    <w:div w:id="1012606165">
      <w:bodyDiv w:val="1"/>
      <w:marLeft w:val="0"/>
      <w:marRight w:val="0"/>
      <w:marTop w:val="0"/>
      <w:marBottom w:val="0"/>
      <w:divBdr>
        <w:top w:val="none" w:sz="0" w:space="0" w:color="auto"/>
        <w:left w:val="none" w:sz="0" w:space="0" w:color="auto"/>
        <w:bottom w:val="none" w:sz="0" w:space="0" w:color="auto"/>
        <w:right w:val="none" w:sz="0" w:space="0" w:color="auto"/>
      </w:divBdr>
    </w:div>
    <w:div w:id="1018385767">
      <w:bodyDiv w:val="1"/>
      <w:marLeft w:val="0"/>
      <w:marRight w:val="0"/>
      <w:marTop w:val="0"/>
      <w:marBottom w:val="0"/>
      <w:divBdr>
        <w:top w:val="none" w:sz="0" w:space="0" w:color="auto"/>
        <w:left w:val="none" w:sz="0" w:space="0" w:color="auto"/>
        <w:bottom w:val="none" w:sz="0" w:space="0" w:color="auto"/>
        <w:right w:val="none" w:sz="0" w:space="0" w:color="auto"/>
      </w:divBdr>
    </w:div>
    <w:div w:id="1021468440">
      <w:bodyDiv w:val="1"/>
      <w:marLeft w:val="0"/>
      <w:marRight w:val="0"/>
      <w:marTop w:val="0"/>
      <w:marBottom w:val="0"/>
      <w:divBdr>
        <w:top w:val="none" w:sz="0" w:space="0" w:color="auto"/>
        <w:left w:val="none" w:sz="0" w:space="0" w:color="auto"/>
        <w:bottom w:val="none" w:sz="0" w:space="0" w:color="auto"/>
        <w:right w:val="none" w:sz="0" w:space="0" w:color="auto"/>
      </w:divBdr>
    </w:div>
    <w:div w:id="1021509682">
      <w:bodyDiv w:val="1"/>
      <w:marLeft w:val="0"/>
      <w:marRight w:val="0"/>
      <w:marTop w:val="0"/>
      <w:marBottom w:val="0"/>
      <w:divBdr>
        <w:top w:val="none" w:sz="0" w:space="0" w:color="auto"/>
        <w:left w:val="none" w:sz="0" w:space="0" w:color="auto"/>
        <w:bottom w:val="none" w:sz="0" w:space="0" w:color="auto"/>
        <w:right w:val="none" w:sz="0" w:space="0" w:color="auto"/>
      </w:divBdr>
    </w:div>
    <w:div w:id="1028527458">
      <w:bodyDiv w:val="1"/>
      <w:marLeft w:val="0"/>
      <w:marRight w:val="0"/>
      <w:marTop w:val="0"/>
      <w:marBottom w:val="0"/>
      <w:divBdr>
        <w:top w:val="none" w:sz="0" w:space="0" w:color="auto"/>
        <w:left w:val="none" w:sz="0" w:space="0" w:color="auto"/>
        <w:bottom w:val="none" w:sz="0" w:space="0" w:color="auto"/>
        <w:right w:val="none" w:sz="0" w:space="0" w:color="auto"/>
      </w:divBdr>
    </w:div>
    <w:div w:id="1028868332">
      <w:bodyDiv w:val="1"/>
      <w:marLeft w:val="0"/>
      <w:marRight w:val="0"/>
      <w:marTop w:val="0"/>
      <w:marBottom w:val="0"/>
      <w:divBdr>
        <w:top w:val="none" w:sz="0" w:space="0" w:color="auto"/>
        <w:left w:val="none" w:sz="0" w:space="0" w:color="auto"/>
        <w:bottom w:val="none" w:sz="0" w:space="0" w:color="auto"/>
        <w:right w:val="none" w:sz="0" w:space="0" w:color="auto"/>
      </w:divBdr>
    </w:div>
    <w:div w:id="1029792985">
      <w:bodyDiv w:val="1"/>
      <w:marLeft w:val="0"/>
      <w:marRight w:val="0"/>
      <w:marTop w:val="0"/>
      <w:marBottom w:val="0"/>
      <w:divBdr>
        <w:top w:val="none" w:sz="0" w:space="0" w:color="auto"/>
        <w:left w:val="none" w:sz="0" w:space="0" w:color="auto"/>
        <w:bottom w:val="none" w:sz="0" w:space="0" w:color="auto"/>
        <w:right w:val="none" w:sz="0" w:space="0" w:color="auto"/>
      </w:divBdr>
    </w:div>
    <w:div w:id="1032343567">
      <w:bodyDiv w:val="1"/>
      <w:marLeft w:val="0"/>
      <w:marRight w:val="0"/>
      <w:marTop w:val="0"/>
      <w:marBottom w:val="0"/>
      <w:divBdr>
        <w:top w:val="none" w:sz="0" w:space="0" w:color="auto"/>
        <w:left w:val="none" w:sz="0" w:space="0" w:color="auto"/>
        <w:bottom w:val="none" w:sz="0" w:space="0" w:color="auto"/>
        <w:right w:val="none" w:sz="0" w:space="0" w:color="auto"/>
      </w:divBdr>
    </w:div>
    <w:div w:id="1033112716">
      <w:bodyDiv w:val="1"/>
      <w:marLeft w:val="0"/>
      <w:marRight w:val="0"/>
      <w:marTop w:val="0"/>
      <w:marBottom w:val="0"/>
      <w:divBdr>
        <w:top w:val="none" w:sz="0" w:space="0" w:color="auto"/>
        <w:left w:val="none" w:sz="0" w:space="0" w:color="auto"/>
        <w:bottom w:val="none" w:sz="0" w:space="0" w:color="auto"/>
        <w:right w:val="none" w:sz="0" w:space="0" w:color="auto"/>
      </w:divBdr>
    </w:div>
    <w:div w:id="1033726883">
      <w:bodyDiv w:val="1"/>
      <w:marLeft w:val="0"/>
      <w:marRight w:val="0"/>
      <w:marTop w:val="0"/>
      <w:marBottom w:val="0"/>
      <w:divBdr>
        <w:top w:val="none" w:sz="0" w:space="0" w:color="auto"/>
        <w:left w:val="none" w:sz="0" w:space="0" w:color="auto"/>
        <w:bottom w:val="none" w:sz="0" w:space="0" w:color="auto"/>
        <w:right w:val="none" w:sz="0" w:space="0" w:color="auto"/>
      </w:divBdr>
    </w:div>
    <w:div w:id="1044208230">
      <w:bodyDiv w:val="1"/>
      <w:marLeft w:val="0"/>
      <w:marRight w:val="0"/>
      <w:marTop w:val="0"/>
      <w:marBottom w:val="0"/>
      <w:divBdr>
        <w:top w:val="none" w:sz="0" w:space="0" w:color="auto"/>
        <w:left w:val="none" w:sz="0" w:space="0" w:color="auto"/>
        <w:bottom w:val="none" w:sz="0" w:space="0" w:color="auto"/>
        <w:right w:val="none" w:sz="0" w:space="0" w:color="auto"/>
      </w:divBdr>
    </w:div>
    <w:div w:id="1049107026">
      <w:bodyDiv w:val="1"/>
      <w:marLeft w:val="0"/>
      <w:marRight w:val="0"/>
      <w:marTop w:val="0"/>
      <w:marBottom w:val="0"/>
      <w:divBdr>
        <w:top w:val="none" w:sz="0" w:space="0" w:color="auto"/>
        <w:left w:val="none" w:sz="0" w:space="0" w:color="auto"/>
        <w:bottom w:val="none" w:sz="0" w:space="0" w:color="auto"/>
        <w:right w:val="none" w:sz="0" w:space="0" w:color="auto"/>
      </w:divBdr>
    </w:div>
    <w:div w:id="1050568303">
      <w:bodyDiv w:val="1"/>
      <w:marLeft w:val="0"/>
      <w:marRight w:val="0"/>
      <w:marTop w:val="0"/>
      <w:marBottom w:val="0"/>
      <w:divBdr>
        <w:top w:val="none" w:sz="0" w:space="0" w:color="auto"/>
        <w:left w:val="none" w:sz="0" w:space="0" w:color="auto"/>
        <w:bottom w:val="none" w:sz="0" w:space="0" w:color="auto"/>
        <w:right w:val="none" w:sz="0" w:space="0" w:color="auto"/>
      </w:divBdr>
    </w:div>
    <w:div w:id="1055547292">
      <w:bodyDiv w:val="1"/>
      <w:marLeft w:val="0"/>
      <w:marRight w:val="0"/>
      <w:marTop w:val="0"/>
      <w:marBottom w:val="0"/>
      <w:divBdr>
        <w:top w:val="none" w:sz="0" w:space="0" w:color="auto"/>
        <w:left w:val="none" w:sz="0" w:space="0" w:color="auto"/>
        <w:bottom w:val="none" w:sz="0" w:space="0" w:color="auto"/>
        <w:right w:val="none" w:sz="0" w:space="0" w:color="auto"/>
      </w:divBdr>
    </w:div>
    <w:div w:id="1055817355">
      <w:bodyDiv w:val="1"/>
      <w:marLeft w:val="0"/>
      <w:marRight w:val="0"/>
      <w:marTop w:val="0"/>
      <w:marBottom w:val="0"/>
      <w:divBdr>
        <w:top w:val="none" w:sz="0" w:space="0" w:color="auto"/>
        <w:left w:val="none" w:sz="0" w:space="0" w:color="auto"/>
        <w:bottom w:val="none" w:sz="0" w:space="0" w:color="auto"/>
        <w:right w:val="none" w:sz="0" w:space="0" w:color="auto"/>
      </w:divBdr>
    </w:div>
    <w:div w:id="1058557184">
      <w:bodyDiv w:val="1"/>
      <w:marLeft w:val="0"/>
      <w:marRight w:val="0"/>
      <w:marTop w:val="0"/>
      <w:marBottom w:val="0"/>
      <w:divBdr>
        <w:top w:val="none" w:sz="0" w:space="0" w:color="auto"/>
        <w:left w:val="none" w:sz="0" w:space="0" w:color="auto"/>
        <w:bottom w:val="none" w:sz="0" w:space="0" w:color="auto"/>
        <w:right w:val="none" w:sz="0" w:space="0" w:color="auto"/>
      </w:divBdr>
    </w:div>
    <w:div w:id="1065682396">
      <w:bodyDiv w:val="1"/>
      <w:marLeft w:val="0"/>
      <w:marRight w:val="0"/>
      <w:marTop w:val="0"/>
      <w:marBottom w:val="0"/>
      <w:divBdr>
        <w:top w:val="none" w:sz="0" w:space="0" w:color="auto"/>
        <w:left w:val="none" w:sz="0" w:space="0" w:color="auto"/>
        <w:bottom w:val="none" w:sz="0" w:space="0" w:color="auto"/>
        <w:right w:val="none" w:sz="0" w:space="0" w:color="auto"/>
      </w:divBdr>
    </w:div>
    <w:div w:id="1066106451">
      <w:bodyDiv w:val="1"/>
      <w:marLeft w:val="0"/>
      <w:marRight w:val="0"/>
      <w:marTop w:val="0"/>
      <w:marBottom w:val="0"/>
      <w:divBdr>
        <w:top w:val="none" w:sz="0" w:space="0" w:color="auto"/>
        <w:left w:val="none" w:sz="0" w:space="0" w:color="auto"/>
        <w:bottom w:val="none" w:sz="0" w:space="0" w:color="auto"/>
        <w:right w:val="none" w:sz="0" w:space="0" w:color="auto"/>
      </w:divBdr>
    </w:div>
    <w:div w:id="1074812416">
      <w:bodyDiv w:val="1"/>
      <w:marLeft w:val="0"/>
      <w:marRight w:val="0"/>
      <w:marTop w:val="0"/>
      <w:marBottom w:val="0"/>
      <w:divBdr>
        <w:top w:val="none" w:sz="0" w:space="0" w:color="auto"/>
        <w:left w:val="none" w:sz="0" w:space="0" w:color="auto"/>
        <w:bottom w:val="none" w:sz="0" w:space="0" w:color="auto"/>
        <w:right w:val="none" w:sz="0" w:space="0" w:color="auto"/>
      </w:divBdr>
    </w:div>
    <w:div w:id="1082723743">
      <w:bodyDiv w:val="1"/>
      <w:marLeft w:val="0"/>
      <w:marRight w:val="0"/>
      <w:marTop w:val="0"/>
      <w:marBottom w:val="0"/>
      <w:divBdr>
        <w:top w:val="none" w:sz="0" w:space="0" w:color="auto"/>
        <w:left w:val="none" w:sz="0" w:space="0" w:color="auto"/>
        <w:bottom w:val="none" w:sz="0" w:space="0" w:color="auto"/>
        <w:right w:val="none" w:sz="0" w:space="0" w:color="auto"/>
      </w:divBdr>
    </w:div>
    <w:div w:id="1084031911">
      <w:bodyDiv w:val="1"/>
      <w:marLeft w:val="0"/>
      <w:marRight w:val="0"/>
      <w:marTop w:val="0"/>
      <w:marBottom w:val="0"/>
      <w:divBdr>
        <w:top w:val="none" w:sz="0" w:space="0" w:color="auto"/>
        <w:left w:val="none" w:sz="0" w:space="0" w:color="auto"/>
        <w:bottom w:val="none" w:sz="0" w:space="0" w:color="auto"/>
        <w:right w:val="none" w:sz="0" w:space="0" w:color="auto"/>
      </w:divBdr>
    </w:div>
    <w:div w:id="1084108822">
      <w:bodyDiv w:val="1"/>
      <w:marLeft w:val="0"/>
      <w:marRight w:val="0"/>
      <w:marTop w:val="0"/>
      <w:marBottom w:val="0"/>
      <w:divBdr>
        <w:top w:val="none" w:sz="0" w:space="0" w:color="auto"/>
        <w:left w:val="none" w:sz="0" w:space="0" w:color="auto"/>
        <w:bottom w:val="none" w:sz="0" w:space="0" w:color="auto"/>
        <w:right w:val="none" w:sz="0" w:space="0" w:color="auto"/>
      </w:divBdr>
    </w:div>
    <w:div w:id="1087073826">
      <w:bodyDiv w:val="1"/>
      <w:marLeft w:val="0"/>
      <w:marRight w:val="0"/>
      <w:marTop w:val="0"/>
      <w:marBottom w:val="0"/>
      <w:divBdr>
        <w:top w:val="none" w:sz="0" w:space="0" w:color="auto"/>
        <w:left w:val="none" w:sz="0" w:space="0" w:color="auto"/>
        <w:bottom w:val="none" w:sz="0" w:space="0" w:color="auto"/>
        <w:right w:val="none" w:sz="0" w:space="0" w:color="auto"/>
      </w:divBdr>
    </w:div>
    <w:div w:id="1091272236">
      <w:bodyDiv w:val="1"/>
      <w:marLeft w:val="0"/>
      <w:marRight w:val="0"/>
      <w:marTop w:val="0"/>
      <w:marBottom w:val="0"/>
      <w:divBdr>
        <w:top w:val="none" w:sz="0" w:space="0" w:color="auto"/>
        <w:left w:val="none" w:sz="0" w:space="0" w:color="auto"/>
        <w:bottom w:val="none" w:sz="0" w:space="0" w:color="auto"/>
        <w:right w:val="none" w:sz="0" w:space="0" w:color="auto"/>
      </w:divBdr>
    </w:div>
    <w:div w:id="1092773203">
      <w:bodyDiv w:val="1"/>
      <w:marLeft w:val="0"/>
      <w:marRight w:val="0"/>
      <w:marTop w:val="0"/>
      <w:marBottom w:val="0"/>
      <w:divBdr>
        <w:top w:val="none" w:sz="0" w:space="0" w:color="auto"/>
        <w:left w:val="none" w:sz="0" w:space="0" w:color="auto"/>
        <w:bottom w:val="none" w:sz="0" w:space="0" w:color="auto"/>
        <w:right w:val="none" w:sz="0" w:space="0" w:color="auto"/>
      </w:divBdr>
    </w:div>
    <w:div w:id="1100101317">
      <w:bodyDiv w:val="1"/>
      <w:marLeft w:val="0"/>
      <w:marRight w:val="0"/>
      <w:marTop w:val="0"/>
      <w:marBottom w:val="0"/>
      <w:divBdr>
        <w:top w:val="none" w:sz="0" w:space="0" w:color="auto"/>
        <w:left w:val="none" w:sz="0" w:space="0" w:color="auto"/>
        <w:bottom w:val="none" w:sz="0" w:space="0" w:color="auto"/>
        <w:right w:val="none" w:sz="0" w:space="0" w:color="auto"/>
      </w:divBdr>
    </w:div>
    <w:div w:id="1100948949">
      <w:bodyDiv w:val="1"/>
      <w:marLeft w:val="0"/>
      <w:marRight w:val="0"/>
      <w:marTop w:val="0"/>
      <w:marBottom w:val="0"/>
      <w:divBdr>
        <w:top w:val="none" w:sz="0" w:space="0" w:color="auto"/>
        <w:left w:val="none" w:sz="0" w:space="0" w:color="auto"/>
        <w:bottom w:val="none" w:sz="0" w:space="0" w:color="auto"/>
        <w:right w:val="none" w:sz="0" w:space="0" w:color="auto"/>
      </w:divBdr>
    </w:div>
    <w:div w:id="1104494572">
      <w:bodyDiv w:val="1"/>
      <w:marLeft w:val="0"/>
      <w:marRight w:val="0"/>
      <w:marTop w:val="0"/>
      <w:marBottom w:val="0"/>
      <w:divBdr>
        <w:top w:val="none" w:sz="0" w:space="0" w:color="auto"/>
        <w:left w:val="none" w:sz="0" w:space="0" w:color="auto"/>
        <w:bottom w:val="none" w:sz="0" w:space="0" w:color="auto"/>
        <w:right w:val="none" w:sz="0" w:space="0" w:color="auto"/>
      </w:divBdr>
    </w:div>
    <w:div w:id="1107120033">
      <w:bodyDiv w:val="1"/>
      <w:marLeft w:val="0"/>
      <w:marRight w:val="0"/>
      <w:marTop w:val="0"/>
      <w:marBottom w:val="0"/>
      <w:divBdr>
        <w:top w:val="none" w:sz="0" w:space="0" w:color="auto"/>
        <w:left w:val="none" w:sz="0" w:space="0" w:color="auto"/>
        <w:bottom w:val="none" w:sz="0" w:space="0" w:color="auto"/>
        <w:right w:val="none" w:sz="0" w:space="0" w:color="auto"/>
      </w:divBdr>
    </w:div>
    <w:div w:id="1109660148">
      <w:bodyDiv w:val="1"/>
      <w:marLeft w:val="0"/>
      <w:marRight w:val="0"/>
      <w:marTop w:val="0"/>
      <w:marBottom w:val="0"/>
      <w:divBdr>
        <w:top w:val="none" w:sz="0" w:space="0" w:color="auto"/>
        <w:left w:val="none" w:sz="0" w:space="0" w:color="auto"/>
        <w:bottom w:val="none" w:sz="0" w:space="0" w:color="auto"/>
        <w:right w:val="none" w:sz="0" w:space="0" w:color="auto"/>
      </w:divBdr>
    </w:div>
    <w:div w:id="1111895038">
      <w:bodyDiv w:val="1"/>
      <w:marLeft w:val="0"/>
      <w:marRight w:val="0"/>
      <w:marTop w:val="0"/>
      <w:marBottom w:val="0"/>
      <w:divBdr>
        <w:top w:val="none" w:sz="0" w:space="0" w:color="auto"/>
        <w:left w:val="none" w:sz="0" w:space="0" w:color="auto"/>
        <w:bottom w:val="none" w:sz="0" w:space="0" w:color="auto"/>
        <w:right w:val="none" w:sz="0" w:space="0" w:color="auto"/>
      </w:divBdr>
    </w:div>
    <w:div w:id="1119035755">
      <w:bodyDiv w:val="1"/>
      <w:marLeft w:val="0"/>
      <w:marRight w:val="0"/>
      <w:marTop w:val="0"/>
      <w:marBottom w:val="0"/>
      <w:divBdr>
        <w:top w:val="none" w:sz="0" w:space="0" w:color="auto"/>
        <w:left w:val="none" w:sz="0" w:space="0" w:color="auto"/>
        <w:bottom w:val="none" w:sz="0" w:space="0" w:color="auto"/>
        <w:right w:val="none" w:sz="0" w:space="0" w:color="auto"/>
      </w:divBdr>
    </w:div>
    <w:div w:id="1120610022">
      <w:bodyDiv w:val="1"/>
      <w:marLeft w:val="0"/>
      <w:marRight w:val="0"/>
      <w:marTop w:val="0"/>
      <w:marBottom w:val="0"/>
      <w:divBdr>
        <w:top w:val="none" w:sz="0" w:space="0" w:color="auto"/>
        <w:left w:val="none" w:sz="0" w:space="0" w:color="auto"/>
        <w:bottom w:val="none" w:sz="0" w:space="0" w:color="auto"/>
        <w:right w:val="none" w:sz="0" w:space="0" w:color="auto"/>
      </w:divBdr>
    </w:div>
    <w:div w:id="1121147641">
      <w:bodyDiv w:val="1"/>
      <w:marLeft w:val="0"/>
      <w:marRight w:val="0"/>
      <w:marTop w:val="0"/>
      <w:marBottom w:val="0"/>
      <w:divBdr>
        <w:top w:val="none" w:sz="0" w:space="0" w:color="auto"/>
        <w:left w:val="none" w:sz="0" w:space="0" w:color="auto"/>
        <w:bottom w:val="none" w:sz="0" w:space="0" w:color="auto"/>
        <w:right w:val="none" w:sz="0" w:space="0" w:color="auto"/>
      </w:divBdr>
    </w:div>
    <w:div w:id="1124733513">
      <w:bodyDiv w:val="1"/>
      <w:marLeft w:val="0"/>
      <w:marRight w:val="0"/>
      <w:marTop w:val="0"/>
      <w:marBottom w:val="0"/>
      <w:divBdr>
        <w:top w:val="none" w:sz="0" w:space="0" w:color="auto"/>
        <w:left w:val="none" w:sz="0" w:space="0" w:color="auto"/>
        <w:bottom w:val="none" w:sz="0" w:space="0" w:color="auto"/>
        <w:right w:val="none" w:sz="0" w:space="0" w:color="auto"/>
      </w:divBdr>
    </w:div>
    <w:div w:id="1125198367">
      <w:bodyDiv w:val="1"/>
      <w:marLeft w:val="0"/>
      <w:marRight w:val="0"/>
      <w:marTop w:val="0"/>
      <w:marBottom w:val="0"/>
      <w:divBdr>
        <w:top w:val="none" w:sz="0" w:space="0" w:color="auto"/>
        <w:left w:val="none" w:sz="0" w:space="0" w:color="auto"/>
        <w:bottom w:val="none" w:sz="0" w:space="0" w:color="auto"/>
        <w:right w:val="none" w:sz="0" w:space="0" w:color="auto"/>
      </w:divBdr>
    </w:div>
    <w:div w:id="1132480799">
      <w:bodyDiv w:val="1"/>
      <w:marLeft w:val="0"/>
      <w:marRight w:val="0"/>
      <w:marTop w:val="0"/>
      <w:marBottom w:val="0"/>
      <w:divBdr>
        <w:top w:val="none" w:sz="0" w:space="0" w:color="auto"/>
        <w:left w:val="none" w:sz="0" w:space="0" w:color="auto"/>
        <w:bottom w:val="none" w:sz="0" w:space="0" w:color="auto"/>
        <w:right w:val="none" w:sz="0" w:space="0" w:color="auto"/>
      </w:divBdr>
    </w:div>
    <w:div w:id="1135178773">
      <w:bodyDiv w:val="1"/>
      <w:marLeft w:val="0"/>
      <w:marRight w:val="0"/>
      <w:marTop w:val="0"/>
      <w:marBottom w:val="0"/>
      <w:divBdr>
        <w:top w:val="none" w:sz="0" w:space="0" w:color="auto"/>
        <w:left w:val="none" w:sz="0" w:space="0" w:color="auto"/>
        <w:bottom w:val="none" w:sz="0" w:space="0" w:color="auto"/>
        <w:right w:val="none" w:sz="0" w:space="0" w:color="auto"/>
      </w:divBdr>
    </w:div>
    <w:div w:id="1143886784">
      <w:bodyDiv w:val="1"/>
      <w:marLeft w:val="0"/>
      <w:marRight w:val="0"/>
      <w:marTop w:val="0"/>
      <w:marBottom w:val="0"/>
      <w:divBdr>
        <w:top w:val="none" w:sz="0" w:space="0" w:color="auto"/>
        <w:left w:val="none" w:sz="0" w:space="0" w:color="auto"/>
        <w:bottom w:val="none" w:sz="0" w:space="0" w:color="auto"/>
        <w:right w:val="none" w:sz="0" w:space="0" w:color="auto"/>
      </w:divBdr>
    </w:div>
    <w:div w:id="1144547403">
      <w:bodyDiv w:val="1"/>
      <w:marLeft w:val="0"/>
      <w:marRight w:val="0"/>
      <w:marTop w:val="0"/>
      <w:marBottom w:val="0"/>
      <w:divBdr>
        <w:top w:val="none" w:sz="0" w:space="0" w:color="auto"/>
        <w:left w:val="none" w:sz="0" w:space="0" w:color="auto"/>
        <w:bottom w:val="none" w:sz="0" w:space="0" w:color="auto"/>
        <w:right w:val="none" w:sz="0" w:space="0" w:color="auto"/>
      </w:divBdr>
    </w:div>
    <w:div w:id="1149132380">
      <w:bodyDiv w:val="1"/>
      <w:marLeft w:val="0"/>
      <w:marRight w:val="0"/>
      <w:marTop w:val="0"/>
      <w:marBottom w:val="0"/>
      <w:divBdr>
        <w:top w:val="none" w:sz="0" w:space="0" w:color="auto"/>
        <w:left w:val="none" w:sz="0" w:space="0" w:color="auto"/>
        <w:bottom w:val="none" w:sz="0" w:space="0" w:color="auto"/>
        <w:right w:val="none" w:sz="0" w:space="0" w:color="auto"/>
      </w:divBdr>
    </w:div>
    <w:div w:id="1158115571">
      <w:bodyDiv w:val="1"/>
      <w:marLeft w:val="0"/>
      <w:marRight w:val="0"/>
      <w:marTop w:val="0"/>
      <w:marBottom w:val="0"/>
      <w:divBdr>
        <w:top w:val="none" w:sz="0" w:space="0" w:color="auto"/>
        <w:left w:val="none" w:sz="0" w:space="0" w:color="auto"/>
        <w:bottom w:val="none" w:sz="0" w:space="0" w:color="auto"/>
        <w:right w:val="none" w:sz="0" w:space="0" w:color="auto"/>
      </w:divBdr>
    </w:div>
    <w:div w:id="1161388236">
      <w:bodyDiv w:val="1"/>
      <w:marLeft w:val="0"/>
      <w:marRight w:val="0"/>
      <w:marTop w:val="0"/>
      <w:marBottom w:val="0"/>
      <w:divBdr>
        <w:top w:val="none" w:sz="0" w:space="0" w:color="auto"/>
        <w:left w:val="none" w:sz="0" w:space="0" w:color="auto"/>
        <w:bottom w:val="none" w:sz="0" w:space="0" w:color="auto"/>
        <w:right w:val="none" w:sz="0" w:space="0" w:color="auto"/>
      </w:divBdr>
    </w:div>
    <w:div w:id="1164978882">
      <w:bodyDiv w:val="1"/>
      <w:marLeft w:val="0"/>
      <w:marRight w:val="0"/>
      <w:marTop w:val="0"/>
      <w:marBottom w:val="0"/>
      <w:divBdr>
        <w:top w:val="none" w:sz="0" w:space="0" w:color="auto"/>
        <w:left w:val="none" w:sz="0" w:space="0" w:color="auto"/>
        <w:bottom w:val="none" w:sz="0" w:space="0" w:color="auto"/>
        <w:right w:val="none" w:sz="0" w:space="0" w:color="auto"/>
      </w:divBdr>
    </w:div>
    <w:div w:id="1168713305">
      <w:bodyDiv w:val="1"/>
      <w:marLeft w:val="0"/>
      <w:marRight w:val="0"/>
      <w:marTop w:val="0"/>
      <w:marBottom w:val="0"/>
      <w:divBdr>
        <w:top w:val="none" w:sz="0" w:space="0" w:color="auto"/>
        <w:left w:val="none" w:sz="0" w:space="0" w:color="auto"/>
        <w:bottom w:val="none" w:sz="0" w:space="0" w:color="auto"/>
        <w:right w:val="none" w:sz="0" w:space="0" w:color="auto"/>
      </w:divBdr>
    </w:div>
    <w:div w:id="1169757493">
      <w:bodyDiv w:val="1"/>
      <w:marLeft w:val="0"/>
      <w:marRight w:val="0"/>
      <w:marTop w:val="0"/>
      <w:marBottom w:val="0"/>
      <w:divBdr>
        <w:top w:val="none" w:sz="0" w:space="0" w:color="auto"/>
        <w:left w:val="none" w:sz="0" w:space="0" w:color="auto"/>
        <w:bottom w:val="none" w:sz="0" w:space="0" w:color="auto"/>
        <w:right w:val="none" w:sz="0" w:space="0" w:color="auto"/>
      </w:divBdr>
    </w:div>
    <w:div w:id="1170674738">
      <w:bodyDiv w:val="1"/>
      <w:marLeft w:val="0"/>
      <w:marRight w:val="0"/>
      <w:marTop w:val="0"/>
      <w:marBottom w:val="0"/>
      <w:divBdr>
        <w:top w:val="none" w:sz="0" w:space="0" w:color="auto"/>
        <w:left w:val="none" w:sz="0" w:space="0" w:color="auto"/>
        <w:bottom w:val="none" w:sz="0" w:space="0" w:color="auto"/>
        <w:right w:val="none" w:sz="0" w:space="0" w:color="auto"/>
      </w:divBdr>
    </w:div>
    <w:div w:id="1171263748">
      <w:bodyDiv w:val="1"/>
      <w:marLeft w:val="0"/>
      <w:marRight w:val="0"/>
      <w:marTop w:val="0"/>
      <w:marBottom w:val="0"/>
      <w:divBdr>
        <w:top w:val="none" w:sz="0" w:space="0" w:color="auto"/>
        <w:left w:val="none" w:sz="0" w:space="0" w:color="auto"/>
        <w:bottom w:val="none" w:sz="0" w:space="0" w:color="auto"/>
        <w:right w:val="none" w:sz="0" w:space="0" w:color="auto"/>
      </w:divBdr>
    </w:div>
    <w:div w:id="1180658261">
      <w:bodyDiv w:val="1"/>
      <w:marLeft w:val="0"/>
      <w:marRight w:val="0"/>
      <w:marTop w:val="0"/>
      <w:marBottom w:val="0"/>
      <w:divBdr>
        <w:top w:val="none" w:sz="0" w:space="0" w:color="auto"/>
        <w:left w:val="none" w:sz="0" w:space="0" w:color="auto"/>
        <w:bottom w:val="none" w:sz="0" w:space="0" w:color="auto"/>
        <w:right w:val="none" w:sz="0" w:space="0" w:color="auto"/>
      </w:divBdr>
    </w:div>
    <w:div w:id="1190878592">
      <w:bodyDiv w:val="1"/>
      <w:marLeft w:val="0"/>
      <w:marRight w:val="0"/>
      <w:marTop w:val="0"/>
      <w:marBottom w:val="0"/>
      <w:divBdr>
        <w:top w:val="none" w:sz="0" w:space="0" w:color="auto"/>
        <w:left w:val="none" w:sz="0" w:space="0" w:color="auto"/>
        <w:bottom w:val="none" w:sz="0" w:space="0" w:color="auto"/>
        <w:right w:val="none" w:sz="0" w:space="0" w:color="auto"/>
      </w:divBdr>
    </w:div>
    <w:div w:id="1192643963">
      <w:bodyDiv w:val="1"/>
      <w:marLeft w:val="0"/>
      <w:marRight w:val="0"/>
      <w:marTop w:val="0"/>
      <w:marBottom w:val="0"/>
      <w:divBdr>
        <w:top w:val="none" w:sz="0" w:space="0" w:color="auto"/>
        <w:left w:val="none" w:sz="0" w:space="0" w:color="auto"/>
        <w:bottom w:val="none" w:sz="0" w:space="0" w:color="auto"/>
        <w:right w:val="none" w:sz="0" w:space="0" w:color="auto"/>
      </w:divBdr>
    </w:div>
    <w:div w:id="1194153722">
      <w:bodyDiv w:val="1"/>
      <w:marLeft w:val="0"/>
      <w:marRight w:val="0"/>
      <w:marTop w:val="0"/>
      <w:marBottom w:val="0"/>
      <w:divBdr>
        <w:top w:val="none" w:sz="0" w:space="0" w:color="auto"/>
        <w:left w:val="none" w:sz="0" w:space="0" w:color="auto"/>
        <w:bottom w:val="none" w:sz="0" w:space="0" w:color="auto"/>
        <w:right w:val="none" w:sz="0" w:space="0" w:color="auto"/>
      </w:divBdr>
    </w:div>
    <w:div w:id="1197616433">
      <w:bodyDiv w:val="1"/>
      <w:marLeft w:val="0"/>
      <w:marRight w:val="0"/>
      <w:marTop w:val="0"/>
      <w:marBottom w:val="0"/>
      <w:divBdr>
        <w:top w:val="none" w:sz="0" w:space="0" w:color="auto"/>
        <w:left w:val="none" w:sz="0" w:space="0" w:color="auto"/>
        <w:bottom w:val="none" w:sz="0" w:space="0" w:color="auto"/>
        <w:right w:val="none" w:sz="0" w:space="0" w:color="auto"/>
      </w:divBdr>
    </w:div>
    <w:div w:id="1198784944">
      <w:bodyDiv w:val="1"/>
      <w:marLeft w:val="0"/>
      <w:marRight w:val="0"/>
      <w:marTop w:val="0"/>
      <w:marBottom w:val="0"/>
      <w:divBdr>
        <w:top w:val="none" w:sz="0" w:space="0" w:color="auto"/>
        <w:left w:val="none" w:sz="0" w:space="0" w:color="auto"/>
        <w:bottom w:val="none" w:sz="0" w:space="0" w:color="auto"/>
        <w:right w:val="none" w:sz="0" w:space="0" w:color="auto"/>
      </w:divBdr>
    </w:div>
    <w:div w:id="1199316593">
      <w:bodyDiv w:val="1"/>
      <w:marLeft w:val="0"/>
      <w:marRight w:val="0"/>
      <w:marTop w:val="0"/>
      <w:marBottom w:val="0"/>
      <w:divBdr>
        <w:top w:val="none" w:sz="0" w:space="0" w:color="auto"/>
        <w:left w:val="none" w:sz="0" w:space="0" w:color="auto"/>
        <w:bottom w:val="none" w:sz="0" w:space="0" w:color="auto"/>
        <w:right w:val="none" w:sz="0" w:space="0" w:color="auto"/>
      </w:divBdr>
    </w:div>
    <w:div w:id="1199734605">
      <w:bodyDiv w:val="1"/>
      <w:marLeft w:val="0"/>
      <w:marRight w:val="0"/>
      <w:marTop w:val="0"/>
      <w:marBottom w:val="0"/>
      <w:divBdr>
        <w:top w:val="none" w:sz="0" w:space="0" w:color="auto"/>
        <w:left w:val="none" w:sz="0" w:space="0" w:color="auto"/>
        <w:bottom w:val="none" w:sz="0" w:space="0" w:color="auto"/>
        <w:right w:val="none" w:sz="0" w:space="0" w:color="auto"/>
      </w:divBdr>
    </w:div>
    <w:div w:id="1200630766">
      <w:bodyDiv w:val="1"/>
      <w:marLeft w:val="0"/>
      <w:marRight w:val="0"/>
      <w:marTop w:val="0"/>
      <w:marBottom w:val="0"/>
      <w:divBdr>
        <w:top w:val="none" w:sz="0" w:space="0" w:color="auto"/>
        <w:left w:val="none" w:sz="0" w:space="0" w:color="auto"/>
        <w:bottom w:val="none" w:sz="0" w:space="0" w:color="auto"/>
        <w:right w:val="none" w:sz="0" w:space="0" w:color="auto"/>
      </w:divBdr>
    </w:div>
    <w:div w:id="1201361990">
      <w:bodyDiv w:val="1"/>
      <w:marLeft w:val="0"/>
      <w:marRight w:val="0"/>
      <w:marTop w:val="0"/>
      <w:marBottom w:val="0"/>
      <w:divBdr>
        <w:top w:val="none" w:sz="0" w:space="0" w:color="auto"/>
        <w:left w:val="none" w:sz="0" w:space="0" w:color="auto"/>
        <w:bottom w:val="none" w:sz="0" w:space="0" w:color="auto"/>
        <w:right w:val="none" w:sz="0" w:space="0" w:color="auto"/>
      </w:divBdr>
    </w:div>
    <w:div w:id="1204054998">
      <w:bodyDiv w:val="1"/>
      <w:marLeft w:val="0"/>
      <w:marRight w:val="0"/>
      <w:marTop w:val="0"/>
      <w:marBottom w:val="0"/>
      <w:divBdr>
        <w:top w:val="none" w:sz="0" w:space="0" w:color="auto"/>
        <w:left w:val="none" w:sz="0" w:space="0" w:color="auto"/>
        <w:bottom w:val="none" w:sz="0" w:space="0" w:color="auto"/>
        <w:right w:val="none" w:sz="0" w:space="0" w:color="auto"/>
      </w:divBdr>
    </w:div>
    <w:div w:id="1209024285">
      <w:bodyDiv w:val="1"/>
      <w:marLeft w:val="0"/>
      <w:marRight w:val="0"/>
      <w:marTop w:val="0"/>
      <w:marBottom w:val="0"/>
      <w:divBdr>
        <w:top w:val="none" w:sz="0" w:space="0" w:color="auto"/>
        <w:left w:val="none" w:sz="0" w:space="0" w:color="auto"/>
        <w:bottom w:val="none" w:sz="0" w:space="0" w:color="auto"/>
        <w:right w:val="none" w:sz="0" w:space="0" w:color="auto"/>
      </w:divBdr>
    </w:div>
    <w:div w:id="1219560366">
      <w:bodyDiv w:val="1"/>
      <w:marLeft w:val="0"/>
      <w:marRight w:val="0"/>
      <w:marTop w:val="0"/>
      <w:marBottom w:val="0"/>
      <w:divBdr>
        <w:top w:val="none" w:sz="0" w:space="0" w:color="auto"/>
        <w:left w:val="none" w:sz="0" w:space="0" w:color="auto"/>
        <w:bottom w:val="none" w:sz="0" w:space="0" w:color="auto"/>
        <w:right w:val="none" w:sz="0" w:space="0" w:color="auto"/>
      </w:divBdr>
    </w:div>
    <w:div w:id="1220441063">
      <w:bodyDiv w:val="1"/>
      <w:marLeft w:val="0"/>
      <w:marRight w:val="0"/>
      <w:marTop w:val="0"/>
      <w:marBottom w:val="0"/>
      <w:divBdr>
        <w:top w:val="none" w:sz="0" w:space="0" w:color="auto"/>
        <w:left w:val="none" w:sz="0" w:space="0" w:color="auto"/>
        <w:bottom w:val="none" w:sz="0" w:space="0" w:color="auto"/>
        <w:right w:val="none" w:sz="0" w:space="0" w:color="auto"/>
      </w:divBdr>
    </w:div>
    <w:div w:id="1225025541">
      <w:bodyDiv w:val="1"/>
      <w:marLeft w:val="0"/>
      <w:marRight w:val="0"/>
      <w:marTop w:val="0"/>
      <w:marBottom w:val="0"/>
      <w:divBdr>
        <w:top w:val="none" w:sz="0" w:space="0" w:color="auto"/>
        <w:left w:val="none" w:sz="0" w:space="0" w:color="auto"/>
        <w:bottom w:val="none" w:sz="0" w:space="0" w:color="auto"/>
        <w:right w:val="none" w:sz="0" w:space="0" w:color="auto"/>
      </w:divBdr>
    </w:div>
    <w:div w:id="1229222403">
      <w:bodyDiv w:val="1"/>
      <w:marLeft w:val="0"/>
      <w:marRight w:val="0"/>
      <w:marTop w:val="0"/>
      <w:marBottom w:val="0"/>
      <w:divBdr>
        <w:top w:val="none" w:sz="0" w:space="0" w:color="auto"/>
        <w:left w:val="none" w:sz="0" w:space="0" w:color="auto"/>
        <w:bottom w:val="none" w:sz="0" w:space="0" w:color="auto"/>
        <w:right w:val="none" w:sz="0" w:space="0" w:color="auto"/>
      </w:divBdr>
    </w:div>
    <w:div w:id="1229461498">
      <w:bodyDiv w:val="1"/>
      <w:marLeft w:val="0"/>
      <w:marRight w:val="0"/>
      <w:marTop w:val="0"/>
      <w:marBottom w:val="0"/>
      <w:divBdr>
        <w:top w:val="none" w:sz="0" w:space="0" w:color="auto"/>
        <w:left w:val="none" w:sz="0" w:space="0" w:color="auto"/>
        <w:bottom w:val="none" w:sz="0" w:space="0" w:color="auto"/>
        <w:right w:val="none" w:sz="0" w:space="0" w:color="auto"/>
      </w:divBdr>
    </w:div>
    <w:div w:id="1240094833">
      <w:bodyDiv w:val="1"/>
      <w:marLeft w:val="0"/>
      <w:marRight w:val="0"/>
      <w:marTop w:val="0"/>
      <w:marBottom w:val="0"/>
      <w:divBdr>
        <w:top w:val="none" w:sz="0" w:space="0" w:color="auto"/>
        <w:left w:val="none" w:sz="0" w:space="0" w:color="auto"/>
        <w:bottom w:val="none" w:sz="0" w:space="0" w:color="auto"/>
        <w:right w:val="none" w:sz="0" w:space="0" w:color="auto"/>
      </w:divBdr>
    </w:div>
    <w:div w:id="1241060671">
      <w:bodyDiv w:val="1"/>
      <w:marLeft w:val="0"/>
      <w:marRight w:val="0"/>
      <w:marTop w:val="0"/>
      <w:marBottom w:val="0"/>
      <w:divBdr>
        <w:top w:val="none" w:sz="0" w:space="0" w:color="auto"/>
        <w:left w:val="none" w:sz="0" w:space="0" w:color="auto"/>
        <w:bottom w:val="none" w:sz="0" w:space="0" w:color="auto"/>
        <w:right w:val="none" w:sz="0" w:space="0" w:color="auto"/>
      </w:divBdr>
    </w:div>
    <w:div w:id="1241712499">
      <w:bodyDiv w:val="1"/>
      <w:marLeft w:val="0"/>
      <w:marRight w:val="0"/>
      <w:marTop w:val="0"/>
      <w:marBottom w:val="0"/>
      <w:divBdr>
        <w:top w:val="none" w:sz="0" w:space="0" w:color="auto"/>
        <w:left w:val="none" w:sz="0" w:space="0" w:color="auto"/>
        <w:bottom w:val="none" w:sz="0" w:space="0" w:color="auto"/>
        <w:right w:val="none" w:sz="0" w:space="0" w:color="auto"/>
      </w:divBdr>
    </w:div>
    <w:div w:id="1247153371">
      <w:bodyDiv w:val="1"/>
      <w:marLeft w:val="0"/>
      <w:marRight w:val="0"/>
      <w:marTop w:val="0"/>
      <w:marBottom w:val="0"/>
      <w:divBdr>
        <w:top w:val="none" w:sz="0" w:space="0" w:color="auto"/>
        <w:left w:val="none" w:sz="0" w:space="0" w:color="auto"/>
        <w:bottom w:val="none" w:sz="0" w:space="0" w:color="auto"/>
        <w:right w:val="none" w:sz="0" w:space="0" w:color="auto"/>
      </w:divBdr>
    </w:div>
    <w:div w:id="1247961167">
      <w:bodyDiv w:val="1"/>
      <w:marLeft w:val="0"/>
      <w:marRight w:val="0"/>
      <w:marTop w:val="0"/>
      <w:marBottom w:val="0"/>
      <w:divBdr>
        <w:top w:val="none" w:sz="0" w:space="0" w:color="auto"/>
        <w:left w:val="none" w:sz="0" w:space="0" w:color="auto"/>
        <w:bottom w:val="none" w:sz="0" w:space="0" w:color="auto"/>
        <w:right w:val="none" w:sz="0" w:space="0" w:color="auto"/>
      </w:divBdr>
    </w:div>
    <w:div w:id="1249997138">
      <w:bodyDiv w:val="1"/>
      <w:marLeft w:val="0"/>
      <w:marRight w:val="0"/>
      <w:marTop w:val="0"/>
      <w:marBottom w:val="0"/>
      <w:divBdr>
        <w:top w:val="none" w:sz="0" w:space="0" w:color="auto"/>
        <w:left w:val="none" w:sz="0" w:space="0" w:color="auto"/>
        <w:bottom w:val="none" w:sz="0" w:space="0" w:color="auto"/>
        <w:right w:val="none" w:sz="0" w:space="0" w:color="auto"/>
      </w:divBdr>
      <w:divsChild>
        <w:div w:id="1214998317">
          <w:marLeft w:val="0"/>
          <w:marRight w:val="0"/>
          <w:marTop w:val="0"/>
          <w:marBottom w:val="0"/>
          <w:divBdr>
            <w:top w:val="none" w:sz="0" w:space="0" w:color="auto"/>
            <w:left w:val="none" w:sz="0" w:space="0" w:color="auto"/>
            <w:bottom w:val="none" w:sz="0" w:space="0" w:color="auto"/>
            <w:right w:val="none" w:sz="0" w:space="0" w:color="auto"/>
          </w:divBdr>
          <w:divsChild>
            <w:div w:id="262227448">
              <w:marLeft w:val="-225"/>
              <w:marRight w:val="-225"/>
              <w:marTop w:val="0"/>
              <w:marBottom w:val="0"/>
              <w:divBdr>
                <w:top w:val="none" w:sz="0" w:space="0" w:color="auto"/>
                <w:left w:val="none" w:sz="0" w:space="0" w:color="auto"/>
                <w:bottom w:val="none" w:sz="0" w:space="0" w:color="auto"/>
                <w:right w:val="none" w:sz="0" w:space="0" w:color="auto"/>
              </w:divBdr>
              <w:divsChild>
                <w:div w:id="1617715074">
                  <w:marLeft w:val="0"/>
                  <w:marRight w:val="0"/>
                  <w:marTop w:val="0"/>
                  <w:marBottom w:val="0"/>
                  <w:divBdr>
                    <w:top w:val="none" w:sz="0" w:space="0" w:color="auto"/>
                    <w:left w:val="none" w:sz="0" w:space="0" w:color="auto"/>
                    <w:bottom w:val="none" w:sz="0" w:space="0" w:color="auto"/>
                    <w:right w:val="none" w:sz="0" w:space="0" w:color="auto"/>
                  </w:divBdr>
                  <w:divsChild>
                    <w:div w:id="1706250131">
                      <w:marLeft w:val="-225"/>
                      <w:marRight w:val="-225"/>
                      <w:marTop w:val="0"/>
                      <w:marBottom w:val="0"/>
                      <w:divBdr>
                        <w:top w:val="none" w:sz="0" w:space="0" w:color="auto"/>
                        <w:left w:val="none" w:sz="0" w:space="0" w:color="auto"/>
                        <w:bottom w:val="none" w:sz="0" w:space="0" w:color="auto"/>
                        <w:right w:val="none" w:sz="0" w:space="0" w:color="auto"/>
                      </w:divBdr>
                      <w:divsChild>
                        <w:div w:id="1310135360">
                          <w:marLeft w:val="0"/>
                          <w:marRight w:val="0"/>
                          <w:marTop w:val="0"/>
                          <w:marBottom w:val="0"/>
                          <w:divBdr>
                            <w:top w:val="none" w:sz="0" w:space="0" w:color="auto"/>
                            <w:left w:val="none" w:sz="0" w:space="0" w:color="auto"/>
                            <w:bottom w:val="none" w:sz="0" w:space="0" w:color="auto"/>
                            <w:right w:val="none" w:sz="0" w:space="0" w:color="auto"/>
                          </w:divBdr>
                          <w:divsChild>
                            <w:div w:id="323893624">
                              <w:marLeft w:val="0"/>
                              <w:marRight w:val="0"/>
                              <w:marTop w:val="0"/>
                              <w:marBottom w:val="0"/>
                              <w:divBdr>
                                <w:top w:val="none" w:sz="0" w:space="0" w:color="auto"/>
                                <w:left w:val="none" w:sz="0" w:space="0" w:color="auto"/>
                                <w:bottom w:val="none" w:sz="0" w:space="0" w:color="auto"/>
                                <w:right w:val="none" w:sz="0" w:space="0" w:color="auto"/>
                              </w:divBdr>
                              <w:divsChild>
                                <w:div w:id="963079877">
                                  <w:marLeft w:val="0"/>
                                  <w:marRight w:val="0"/>
                                  <w:marTop w:val="0"/>
                                  <w:marBottom w:val="0"/>
                                  <w:divBdr>
                                    <w:top w:val="none" w:sz="0" w:space="0" w:color="auto"/>
                                    <w:left w:val="none" w:sz="0" w:space="0" w:color="auto"/>
                                    <w:bottom w:val="none" w:sz="0" w:space="0" w:color="auto"/>
                                    <w:right w:val="none" w:sz="0" w:space="0" w:color="auto"/>
                                  </w:divBdr>
                                  <w:divsChild>
                                    <w:div w:id="599026750">
                                      <w:marLeft w:val="0"/>
                                      <w:marRight w:val="0"/>
                                      <w:marTop w:val="0"/>
                                      <w:marBottom w:val="0"/>
                                      <w:divBdr>
                                        <w:top w:val="none" w:sz="0" w:space="0" w:color="auto"/>
                                        <w:left w:val="none" w:sz="0" w:space="0" w:color="auto"/>
                                        <w:bottom w:val="none" w:sz="0" w:space="0" w:color="auto"/>
                                        <w:right w:val="none" w:sz="0" w:space="0" w:color="auto"/>
                                      </w:divBdr>
                                      <w:divsChild>
                                        <w:div w:id="1982416178">
                                          <w:marLeft w:val="0"/>
                                          <w:marRight w:val="0"/>
                                          <w:marTop w:val="0"/>
                                          <w:marBottom w:val="0"/>
                                          <w:divBdr>
                                            <w:top w:val="none" w:sz="0" w:space="0" w:color="auto"/>
                                            <w:left w:val="none" w:sz="0" w:space="0" w:color="auto"/>
                                            <w:bottom w:val="none" w:sz="0" w:space="0" w:color="auto"/>
                                            <w:right w:val="none" w:sz="0" w:space="0" w:color="auto"/>
                                          </w:divBdr>
                                          <w:divsChild>
                                            <w:div w:id="1503204503">
                                              <w:marLeft w:val="0"/>
                                              <w:marRight w:val="0"/>
                                              <w:marTop w:val="0"/>
                                              <w:marBottom w:val="0"/>
                                              <w:divBdr>
                                                <w:top w:val="none" w:sz="0" w:space="0" w:color="auto"/>
                                                <w:left w:val="none" w:sz="0" w:space="0" w:color="auto"/>
                                                <w:bottom w:val="none" w:sz="0" w:space="0" w:color="auto"/>
                                                <w:right w:val="none" w:sz="0" w:space="0" w:color="auto"/>
                                              </w:divBdr>
                                              <w:divsChild>
                                                <w:div w:id="805901946">
                                                  <w:marLeft w:val="0"/>
                                                  <w:marRight w:val="0"/>
                                                  <w:marTop w:val="0"/>
                                                  <w:marBottom w:val="0"/>
                                                  <w:divBdr>
                                                    <w:top w:val="none" w:sz="0" w:space="0" w:color="auto"/>
                                                    <w:left w:val="none" w:sz="0" w:space="0" w:color="auto"/>
                                                    <w:bottom w:val="none" w:sz="0" w:space="0" w:color="auto"/>
                                                    <w:right w:val="none" w:sz="0" w:space="0" w:color="auto"/>
                                                  </w:divBdr>
                                                  <w:divsChild>
                                                    <w:div w:id="518660370">
                                                      <w:marLeft w:val="0"/>
                                                      <w:marRight w:val="0"/>
                                                      <w:marTop w:val="0"/>
                                                      <w:marBottom w:val="0"/>
                                                      <w:divBdr>
                                                        <w:top w:val="none" w:sz="0" w:space="0" w:color="auto"/>
                                                        <w:left w:val="none" w:sz="0" w:space="0" w:color="auto"/>
                                                        <w:bottom w:val="none" w:sz="0" w:space="0" w:color="auto"/>
                                                        <w:right w:val="none" w:sz="0" w:space="0" w:color="auto"/>
                                                      </w:divBdr>
                                                      <w:divsChild>
                                                        <w:div w:id="440496086">
                                                          <w:marLeft w:val="0"/>
                                                          <w:marRight w:val="0"/>
                                                          <w:marTop w:val="0"/>
                                                          <w:marBottom w:val="0"/>
                                                          <w:divBdr>
                                                            <w:top w:val="none" w:sz="0" w:space="0" w:color="auto"/>
                                                            <w:left w:val="none" w:sz="0" w:space="0" w:color="auto"/>
                                                            <w:bottom w:val="none" w:sz="0" w:space="0" w:color="auto"/>
                                                            <w:right w:val="none" w:sz="0" w:space="0" w:color="auto"/>
                                                          </w:divBdr>
                                                          <w:divsChild>
                                                            <w:div w:id="1286154584">
                                                              <w:marLeft w:val="0"/>
                                                              <w:marRight w:val="0"/>
                                                              <w:marTop w:val="0"/>
                                                              <w:marBottom w:val="0"/>
                                                              <w:divBdr>
                                                                <w:top w:val="none" w:sz="0" w:space="0" w:color="auto"/>
                                                                <w:left w:val="none" w:sz="0" w:space="0" w:color="auto"/>
                                                                <w:bottom w:val="none" w:sz="0" w:space="0" w:color="auto"/>
                                                                <w:right w:val="none" w:sz="0" w:space="0" w:color="auto"/>
                                                              </w:divBdr>
                                                              <w:divsChild>
                                                                <w:div w:id="119453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59489401">
      <w:bodyDiv w:val="1"/>
      <w:marLeft w:val="0"/>
      <w:marRight w:val="0"/>
      <w:marTop w:val="0"/>
      <w:marBottom w:val="0"/>
      <w:divBdr>
        <w:top w:val="none" w:sz="0" w:space="0" w:color="auto"/>
        <w:left w:val="none" w:sz="0" w:space="0" w:color="auto"/>
        <w:bottom w:val="none" w:sz="0" w:space="0" w:color="auto"/>
        <w:right w:val="none" w:sz="0" w:space="0" w:color="auto"/>
      </w:divBdr>
    </w:div>
    <w:div w:id="1275551604">
      <w:bodyDiv w:val="1"/>
      <w:marLeft w:val="0"/>
      <w:marRight w:val="0"/>
      <w:marTop w:val="0"/>
      <w:marBottom w:val="0"/>
      <w:divBdr>
        <w:top w:val="none" w:sz="0" w:space="0" w:color="auto"/>
        <w:left w:val="none" w:sz="0" w:space="0" w:color="auto"/>
        <w:bottom w:val="none" w:sz="0" w:space="0" w:color="auto"/>
        <w:right w:val="none" w:sz="0" w:space="0" w:color="auto"/>
      </w:divBdr>
    </w:div>
    <w:div w:id="1275937510">
      <w:bodyDiv w:val="1"/>
      <w:marLeft w:val="0"/>
      <w:marRight w:val="0"/>
      <w:marTop w:val="0"/>
      <w:marBottom w:val="0"/>
      <w:divBdr>
        <w:top w:val="none" w:sz="0" w:space="0" w:color="auto"/>
        <w:left w:val="none" w:sz="0" w:space="0" w:color="auto"/>
        <w:bottom w:val="none" w:sz="0" w:space="0" w:color="auto"/>
        <w:right w:val="none" w:sz="0" w:space="0" w:color="auto"/>
      </w:divBdr>
    </w:div>
    <w:div w:id="1277912259">
      <w:bodyDiv w:val="1"/>
      <w:marLeft w:val="0"/>
      <w:marRight w:val="0"/>
      <w:marTop w:val="0"/>
      <w:marBottom w:val="0"/>
      <w:divBdr>
        <w:top w:val="none" w:sz="0" w:space="0" w:color="auto"/>
        <w:left w:val="none" w:sz="0" w:space="0" w:color="auto"/>
        <w:bottom w:val="none" w:sz="0" w:space="0" w:color="auto"/>
        <w:right w:val="none" w:sz="0" w:space="0" w:color="auto"/>
      </w:divBdr>
    </w:div>
    <w:div w:id="1279949638">
      <w:bodyDiv w:val="1"/>
      <w:marLeft w:val="0"/>
      <w:marRight w:val="0"/>
      <w:marTop w:val="0"/>
      <w:marBottom w:val="0"/>
      <w:divBdr>
        <w:top w:val="none" w:sz="0" w:space="0" w:color="auto"/>
        <w:left w:val="none" w:sz="0" w:space="0" w:color="auto"/>
        <w:bottom w:val="none" w:sz="0" w:space="0" w:color="auto"/>
        <w:right w:val="none" w:sz="0" w:space="0" w:color="auto"/>
      </w:divBdr>
    </w:div>
    <w:div w:id="1285892468">
      <w:bodyDiv w:val="1"/>
      <w:marLeft w:val="0"/>
      <w:marRight w:val="0"/>
      <w:marTop w:val="0"/>
      <w:marBottom w:val="0"/>
      <w:divBdr>
        <w:top w:val="none" w:sz="0" w:space="0" w:color="auto"/>
        <w:left w:val="none" w:sz="0" w:space="0" w:color="auto"/>
        <w:bottom w:val="none" w:sz="0" w:space="0" w:color="auto"/>
        <w:right w:val="none" w:sz="0" w:space="0" w:color="auto"/>
      </w:divBdr>
    </w:div>
    <w:div w:id="1289899456">
      <w:bodyDiv w:val="1"/>
      <w:marLeft w:val="0"/>
      <w:marRight w:val="0"/>
      <w:marTop w:val="0"/>
      <w:marBottom w:val="0"/>
      <w:divBdr>
        <w:top w:val="none" w:sz="0" w:space="0" w:color="auto"/>
        <w:left w:val="none" w:sz="0" w:space="0" w:color="auto"/>
        <w:bottom w:val="none" w:sz="0" w:space="0" w:color="auto"/>
        <w:right w:val="none" w:sz="0" w:space="0" w:color="auto"/>
      </w:divBdr>
    </w:div>
    <w:div w:id="1296370004">
      <w:bodyDiv w:val="1"/>
      <w:marLeft w:val="0"/>
      <w:marRight w:val="0"/>
      <w:marTop w:val="0"/>
      <w:marBottom w:val="0"/>
      <w:divBdr>
        <w:top w:val="none" w:sz="0" w:space="0" w:color="auto"/>
        <w:left w:val="none" w:sz="0" w:space="0" w:color="auto"/>
        <w:bottom w:val="none" w:sz="0" w:space="0" w:color="auto"/>
        <w:right w:val="none" w:sz="0" w:space="0" w:color="auto"/>
      </w:divBdr>
    </w:div>
    <w:div w:id="1299610242">
      <w:bodyDiv w:val="1"/>
      <w:marLeft w:val="0"/>
      <w:marRight w:val="0"/>
      <w:marTop w:val="0"/>
      <w:marBottom w:val="0"/>
      <w:divBdr>
        <w:top w:val="none" w:sz="0" w:space="0" w:color="auto"/>
        <w:left w:val="none" w:sz="0" w:space="0" w:color="auto"/>
        <w:bottom w:val="none" w:sz="0" w:space="0" w:color="auto"/>
        <w:right w:val="none" w:sz="0" w:space="0" w:color="auto"/>
      </w:divBdr>
    </w:div>
    <w:div w:id="1302616447">
      <w:bodyDiv w:val="1"/>
      <w:marLeft w:val="0"/>
      <w:marRight w:val="0"/>
      <w:marTop w:val="0"/>
      <w:marBottom w:val="0"/>
      <w:divBdr>
        <w:top w:val="none" w:sz="0" w:space="0" w:color="auto"/>
        <w:left w:val="none" w:sz="0" w:space="0" w:color="auto"/>
        <w:bottom w:val="none" w:sz="0" w:space="0" w:color="auto"/>
        <w:right w:val="none" w:sz="0" w:space="0" w:color="auto"/>
      </w:divBdr>
    </w:div>
    <w:div w:id="1306659716">
      <w:bodyDiv w:val="1"/>
      <w:marLeft w:val="0"/>
      <w:marRight w:val="0"/>
      <w:marTop w:val="0"/>
      <w:marBottom w:val="0"/>
      <w:divBdr>
        <w:top w:val="none" w:sz="0" w:space="0" w:color="auto"/>
        <w:left w:val="none" w:sz="0" w:space="0" w:color="auto"/>
        <w:bottom w:val="none" w:sz="0" w:space="0" w:color="auto"/>
        <w:right w:val="none" w:sz="0" w:space="0" w:color="auto"/>
      </w:divBdr>
      <w:divsChild>
        <w:div w:id="919825017">
          <w:marLeft w:val="0"/>
          <w:marRight w:val="0"/>
          <w:marTop w:val="0"/>
          <w:marBottom w:val="0"/>
          <w:divBdr>
            <w:top w:val="none" w:sz="0" w:space="0" w:color="auto"/>
            <w:left w:val="none" w:sz="0" w:space="0" w:color="auto"/>
            <w:bottom w:val="none" w:sz="0" w:space="0" w:color="auto"/>
            <w:right w:val="none" w:sz="0" w:space="0" w:color="auto"/>
          </w:divBdr>
          <w:divsChild>
            <w:div w:id="472331339">
              <w:marLeft w:val="-225"/>
              <w:marRight w:val="-225"/>
              <w:marTop w:val="0"/>
              <w:marBottom w:val="0"/>
              <w:divBdr>
                <w:top w:val="none" w:sz="0" w:space="0" w:color="auto"/>
                <w:left w:val="none" w:sz="0" w:space="0" w:color="auto"/>
                <w:bottom w:val="none" w:sz="0" w:space="0" w:color="auto"/>
                <w:right w:val="none" w:sz="0" w:space="0" w:color="auto"/>
              </w:divBdr>
              <w:divsChild>
                <w:div w:id="1972055961">
                  <w:marLeft w:val="0"/>
                  <w:marRight w:val="0"/>
                  <w:marTop w:val="0"/>
                  <w:marBottom w:val="0"/>
                  <w:divBdr>
                    <w:top w:val="none" w:sz="0" w:space="0" w:color="auto"/>
                    <w:left w:val="none" w:sz="0" w:space="0" w:color="auto"/>
                    <w:bottom w:val="none" w:sz="0" w:space="0" w:color="auto"/>
                    <w:right w:val="none" w:sz="0" w:space="0" w:color="auto"/>
                  </w:divBdr>
                  <w:divsChild>
                    <w:div w:id="1124038340">
                      <w:marLeft w:val="-225"/>
                      <w:marRight w:val="-225"/>
                      <w:marTop w:val="0"/>
                      <w:marBottom w:val="0"/>
                      <w:divBdr>
                        <w:top w:val="none" w:sz="0" w:space="0" w:color="auto"/>
                        <w:left w:val="none" w:sz="0" w:space="0" w:color="auto"/>
                        <w:bottom w:val="none" w:sz="0" w:space="0" w:color="auto"/>
                        <w:right w:val="none" w:sz="0" w:space="0" w:color="auto"/>
                      </w:divBdr>
                      <w:divsChild>
                        <w:div w:id="339817554">
                          <w:marLeft w:val="0"/>
                          <w:marRight w:val="0"/>
                          <w:marTop w:val="0"/>
                          <w:marBottom w:val="0"/>
                          <w:divBdr>
                            <w:top w:val="none" w:sz="0" w:space="0" w:color="auto"/>
                            <w:left w:val="none" w:sz="0" w:space="0" w:color="auto"/>
                            <w:bottom w:val="none" w:sz="0" w:space="0" w:color="auto"/>
                            <w:right w:val="none" w:sz="0" w:space="0" w:color="auto"/>
                          </w:divBdr>
                          <w:divsChild>
                            <w:div w:id="1042367540">
                              <w:marLeft w:val="0"/>
                              <w:marRight w:val="0"/>
                              <w:marTop w:val="0"/>
                              <w:marBottom w:val="0"/>
                              <w:divBdr>
                                <w:top w:val="none" w:sz="0" w:space="0" w:color="auto"/>
                                <w:left w:val="none" w:sz="0" w:space="0" w:color="auto"/>
                                <w:bottom w:val="none" w:sz="0" w:space="0" w:color="auto"/>
                                <w:right w:val="none" w:sz="0" w:space="0" w:color="auto"/>
                              </w:divBdr>
                              <w:divsChild>
                                <w:div w:id="105195211">
                                  <w:marLeft w:val="0"/>
                                  <w:marRight w:val="0"/>
                                  <w:marTop w:val="0"/>
                                  <w:marBottom w:val="0"/>
                                  <w:divBdr>
                                    <w:top w:val="none" w:sz="0" w:space="0" w:color="auto"/>
                                    <w:left w:val="none" w:sz="0" w:space="0" w:color="auto"/>
                                    <w:bottom w:val="none" w:sz="0" w:space="0" w:color="auto"/>
                                    <w:right w:val="none" w:sz="0" w:space="0" w:color="auto"/>
                                  </w:divBdr>
                                  <w:divsChild>
                                    <w:div w:id="1154224386">
                                      <w:marLeft w:val="0"/>
                                      <w:marRight w:val="0"/>
                                      <w:marTop w:val="0"/>
                                      <w:marBottom w:val="0"/>
                                      <w:divBdr>
                                        <w:top w:val="none" w:sz="0" w:space="0" w:color="auto"/>
                                        <w:left w:val="none" w:sz="0" w:space="0" w:color="auto"/>
                                        <w:bottom w:val="none" w:sz="0" w:space="0" w:color="auto"/>
                                        <w:right w:val="none" w:sz="0" w:space="0" w:color="auto"/>
                                      </w:divBdr>
                                      <w:divsChild>
                                        <w:div w:id="1914777291">
                                          <w:marLeft w:val="0"/>
                                          <w:marRight w:val="0"/>
                                          <w:marTop w:val="0"/>
                                          <w:marBottom w:val="0"/>
                                          <w:divBdr>
                                            <w:top w:val="none" w:sz="0" w:space="0" w:color="auto"/>
                                            <w:left w:val="none" w:sz="0" w:space="0" w:color="auto"/>
                                            <w:bottom w:val="none" w:sz="0" w:space="0" w:color="auto"/>
                                            <w:right w:val="none" w:sz="0" w:space="0" w:color="auto"/>
                                          </w:divBdr>
                                          <w:divsChild>
                                            <w:div w:id="2032680367">
                                              <w:marLeft w:val="0"/>
                                              <w:marRight w:val="0"/>
                                              <w:marTop w:val="0"/>
                                              <w:marBottom w:val="0"/>
                                              <w:divBdr>
                                                <w:top w:val="none" w:sz="0" w:space="0" w:color="auto"/>
                                                <w:left w:val="none" w:sz="0" w:space="0" w:color="auto"/>
                                                <w:bottom w:val="none" w:sz="0" w:space="0" w:color="auto"/>
                                                <w:right w:val="none" w:sz="0" w:space="0" w:color="auto"/>
                                              </w:divBdr>
                                              <w:divsChild>
                                                <w:div w:id="377706625">
                                                  <w:marLeft w:val="0"/>
                                                  <w:marRight w:val="0"/>
                                                  <w:marTop w:val="0"/>
                                                  <w:marBottom w:val="0"/>
                                                  <w:divBdr>
                                                    <w:top w:val="none" w:sz="0" w:space="0" w:color="auto"/>
                                                    <w:left w:val="none" w:sz="0" w:space="0" w:color="auto"/>
                                                    <w:bottom w:val="none" w:sz="0" w:space="0" w:color="auto"/>
                                                    <w:right w:val="none" w:sz="0" w:space="0" w:color="auto"/>
                                                  </w:divBdr>
                                                  <w:divsChild>
                                                    <w:div w:id="2045594063">
                                                      <w:marLeft w:val="0"/>
                                                      <w:marRight w:val="0"/>
                                                      <w:marTop w:val="0"/>
                                                      <w:marBottom w:val="0"/>
                                                      <w:divBdr>
                                                        <w:top w:val="none" w:sz="0" w:space="0" w:color="auto"/>
                                                        <w:left w:val="none" w:sz="0" w:space="0" w:color="auto"/>
                                                        <w:bottom w:val="none" w:sz="0" w:space="0" w:color="auto"/>
                                                        <w:right w:val="none" w:sz="0" w:space="0" w:color="auto"/>
                                                      </w:divBdr>
                                                      <w:divsChild>
                                                        <w:div w:id="1189636310">
                                                          <w:marLeft w:val="0"/>
                                                          <w:marRight w:val="0"/>
                                                          <w:marTop w:val="0"/>
                                                          <w:marBottom w:val="0"/>
                                                          <w:divBdr>
                                                            <w:top w:val="none" w:sz="0" w:space="0" w:color="auto"/>
                                                            <w:left w:val="none" w:sz="0" w:space="0" w:color="auto"/>
                                                            <w:bottom w:val="none" w:sz="0" w:space="0" w:color="auto"/>
                                                            <w:right w:val="none" w:sz="0" w:space="0" w:color="auto"/>
                                                          </w:divBdr>
                                                          <w:divsChild>
                                                            <w:div w:id="59796302">
                                                              <w:marLeft w:val="0"/>
                                                              <w:marRight w:val="0"/>
                                                              <w:marTop w:val="0"/>
                                                              <w:marBottom w:val="0"/>
                                                              <w:divBdr>
                                                                <w:top w:val="none" w:sz="0" w:space="0" w:color="auto"/>
                                                                <w:left w:val="none" w:sz="0" w:space="0" w:color="auto"/>
                                                                <w:bottom w:val="none" w:sz="0" w:space="0" w:color="auto"/>
                                                                <w:right w:val="none" w:sz="0" w:space="0" w:color="auto"/>
                                                              </w:divBdr>
                                                              <w:divsChild>
                                                                <w:div w:id="1813980346">
                                                                  <w:marLeft w:val="0"/>
                                                                  <w:marRight w:val="0"/>
                                                                  <w:marTop w:val="0"/>
                                                                  <w:marBottom w:val="0"/>
                                                                  <w:divBdr>
                                                                    <w:top w:val="none" w:sz="0" w:space="0" w:color="auto"/>
                                                                    <w:left w:val="none" w:sz="0" w:space="0" w:color="auto"/>
                                                                    <w:bottom w:val="none" w:sz="0" w:space="0" w:color="auto"/>
                                                                    <w:right w:val="none" w:sz="0" w:space="0" w:color="auto"/>
                                                                  </w:divBdr>
                                                                  <w:divsChild>
                                                                    <w:div w:id="125004678">
                                                                      <w:marLeft w:val="0"/>
                                                                      <w:marRight w:val="0"/>
                                                                      <w:marTop w:val="0"/>
                                                                      <w:marBottom w:val="0"/>
                                                                      <w:divBdr>
                                                                        <w:top w:val="none" w:sz="0" w:space="0" w:color="auto"/>
                                                                        <w:left w:val="none" w:sz="0" w:space="0" w:color="auto"/>
                                                                        <w:bottom w:val="none" w:sz="0" w:space="0" w:color="auto"/>
                                                                        <w:right w:val="none" w:sz="0" w:space="0" w:color="auto"/>
                                                                      </w:divBdr>
                                                                    </w:div>
                                                                    <w:div w:id="199321350">
                                                                      <w:marLeft w:val="0"/>
                                                                      <w:marRight w:val="0"/>
                                                                      <w:marTop w:val="0"/>
                                                                      <w:marBottom w:val="0"/>
                                                                      <w:divBdr>
                                                                        <w:top w:val="none" w:sz="0" w:space="0" w:color="auto"/>
                                                                        <w:left w:val="none" w:sz="0" w:space="0" w:color="auto"/>
                                                                        <w:bottom w:val="none" w:sz="0" w:space="0" w:color="auto"/>
                                                                        <w:right w:val="none" w:sz="0" w:space="0" w:color="auto"/>
                                                                      </w:divBdr>
                                                                    </w:div>
                                                                    <w:div w:id="344290430">
                                                                      <w:marLeft w:val="0"/>
                                                                      <w:marRight w:val="0"/>
                                                                      <w:marTop w:val="0"/>
                                                                      <w:marBottom w:val="0"/>
                                                                      <w:divBdr>
                                                                        <w:top w:val="none" w:sz="0" w:space="0" w:color="auto"/>
                                                                        <w:left w:val="none" w:sz="0" w:space="0" w:color="auto"/>
                                                                        <w:bottom w:val="none" w:sz="0" w:space="0" w:color="auto"/>
                                                                        <w:right w:val="none" w:sz="0" w:space="0" w:color="auto"/>
                                                                      </w:divBdr>
                                                                    </w:div>
                                                                    <w:div w:id="812870599">
                                                                      <w:marLeft w:val="0"/>
                                                                      <w:marRight w:val="0"/>
                                                                      <w:marTop w:val="0"/>
                                                                      <w:marBottom w:val="0"/>
                                                                      <w:divBdr>
                                                                        <w:top w:val="none" w:sz="0" w:space="0" w:color="auto"/>
                                                                        <w:left w:val="none" w:sz="0" w:space="0" w:color="auto"/>
                                                                        <w:bottom w:val="none" w:sz="0" w:space="0" w:color="auto"/>
                                                                        <w:right w:val="none" w:sz="0" w:space="0" w:color="auto"/>
                                                                      </w:divBdr>
                                                                    </w:div>
                                                                    <w:div w:id="1010378968">
                                                                      <w:marLeft w:val="0"/>
                                                                      <w:marRight w:val="0"/>
                                                                      <w:marTop w:val="0"/>
                                                                      <w:marBottom w:val="0"/>
                                                                      <w:divBdr>
                                                                        <w:top w:val="none" w:sz="0" w:space="0" w:color="auto"/>
                                                                        <w:left w:val="none" w:sz="0" w:space="0" w:color="auto"/>
                                                                        <w:bottom w:val="none" w:sz="0" w:space="0" w:color="auto"/>
                                                                        <w:right w:val="none" w:sz="0" w:space="0" w:color="auto"/>
                                                                      </w:divBdr>
                                                                    </w:div>
                                                                    <w:div w:id="201440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09624357">
      <w:bodyDiv w:val="1"/>
      <w:marLeft w:val="0"/>
      <w:marRight w:val="0"/>
      <w:marTop w:val="0"/>
      <w:marBottom w:val="0"/>
      <w:divBdr>
        <w:top w:val="none" w:sz="0" w:space="0" w:color="auto"/>
        <w:left w:val="none" w:sz="0" w:space="0" w:color="auto"/>
        <w:bottom w:val="none" w:sz="0" w:space="0" w:color="auto"/>
        <w:right w:val="none" w:sz="0" w:space="0" w:color="auto"/>
      </w:divBdr>
    </w:div>
    <w:div w:id="1312634183">
      <w:bodyDiv w:val="1"/>
      <w:marLeft w:val="0"/>
      <w:marRight w:val="0"/>
      <w:marTop w:val="0"/>
      <w:marBottom w:val="0"/>
      <w:divBdr>
        <w:top w:val="none" w:sz="0" w:space="0" w:color="auto"/>
        <w:left w:val="none" w:sz="0" w:space="0" w:color="auto"/>
        <w:bottom w:val="none" w:sz="0" w:space="0" w:color="auto"/>
        <w:right w:val="none" w:sz="0" w:space="0" w:color="auto"/>
      </w:divBdr>
    </w:div>
    <w:div w:id="1314987152">
      <w:bodyDiv w:val="1"/>
      <w:marLeft w:val="0"/>
      <w:marRight w:val="0"/>
      <w:marTop w:val="0"/>
      <w:marBottom w:val="0"/>
      <w:divBdr>
        <w:top w:val="none" w:sz="0" w:space="0" w:color="auto"/>
        <w:left w:val="none" w:sz="0" w:space="0" w:color="auto"/>
        <w:bottom w:val="none" w:sz="0" w:space="0" w:color="auto"/>
        <w:right w:val="none" w:sz="0" w:space="0" w:color="auto"/>
      </w:divBdr>
    </w:div>
    <w:div w:id="1315380758">
      <w:bodyDiv w:val="1"/>
      <w:marLeft w:val="0"/>
      <w:marRight w:val="0"/>
      <w:marTop w:val="0"/>
      <w:marBottom w:val="0"/>
      <w:divBdr>
        <w:top w:val="none" w:sz="0" w:space="0" w:color="auto"/>
        <w:left w:val="none" w:sz="0" w:space="0" w:color="auto"/>
        <w:bottom w:val="none" w:sz="0" w:space="0" w:color="auto"/>
        <w:right w:val="none" w:sz="0" w:space="0" w:color="auto"/>
      </w:divBdr>
    </w:div>
    <w:div w:id="1318462417">
      <w:bodyDiv w:val="1"/>
      <w:marLeft w:val="0"/>
      <w:marRight w:val="0"/>
      <w:marTop w:val="0"/>
      <w:marBottom w:val="0"/>
      <w:divBdr>
        <w:top w:val="none" w:sz="0" w:space="0" w:color="auto"/>
        <w:left w:val="none" w:sz="0" w:space="0" w:color="auto"/>
        <w:bottom w:val="none" w:sz="0" w:space="0" w:color="auto"/>
        <w:right w:val="none" w:sz="0" w:space="0" w:color="auto"/>
      </w:divBdr>
    </w:div>
    <w:div w:id="1322082063">
      <w:bodyDiv w:val="1"/>
      <w:marLeft w:val="0"/>
      <w:marRight w:val="0"/>
      <w:marTop w:val="0"/>
      <w:marBottom w:val="0"/>
      <w:divBdr>
        <w:top w:val="none" w:sz="0" w:space="0" w:color="auto"/>
        <w:left w:val="none" w:sz="0" w:space="0" w:color="auto"/>
        <w:bottom w:val="none" w:sz="0" w:space="0" w:color="auto"/>
        <w:right w:val="none" w:sz="0" w:space="0" w:color="auto"/>
      </w:divBdr>
    </w:div>
    <w:div w:id="1322779412">
      <w:bodyDiv w:val="1"/>
      <w:marLeft w:val="0"/>
      <w:marRight w:val="0"/>
      <w:marTop w:val="0"/>
      <w:marBottom w:val="0"/>
      <w:divBdr>
        <w:top w:val="none" w:sz="0" w:space="0" w:color="auto"/>
        <w:left w:val="none" w:sz="0" w:space="0" w:color="auto"/>
        <w:bottom w:val="none" w:sz="0" w:space="0" w:color="auto"/>
        <w:right w:val="none" w:sz="0" w:space="0" w:color="auto"/>
      </w:divBdr>
    </w:div>
    <w:div w:id="1323434093">
      <w:bodyDiv w:val="1"/>
      <w:marLeft w:val="0"/>
      <w:marRight w:val="0"/>
      <w:marTop w:val="0"/>
      <w:marBottom w:val="0"/>
      <w:divBdr>
        <w:top w:val="none" w:sz="0" w:space="0" w:color="auto"/>
        <w:left w:val="none" w:sz="0" w:space="0" w:color="auto"/>
        <w:bottom w:val="none" w:sz="0" w:space="0" w:color="auto"/>
        <w:right w:val="none" w:sz="0" w:space="0" w:color="auto"/>
      </w:divBdr>
    </w:div>
    <w:div w:id="1326661903">
      <w:bodyDiv w:val="1"/>
      <w:marLeft w:val="0"/>
      <w:marRight w:val="0"/>
      <w:marTop w:val="0"/>
      <w:marBottom w:val="0"/>
      <w:divBdr>
        <w:top w:val="none" w:sz="0" w:space="0" w:color="auto"/>
        <w:left w:val="none" w:sz="0" w:space="0" w:color="auto"/>
        <w:bottom w:val="none" w:sz="0" w:space="0" w:color="auto"/>
        <w:right w:val="none" w:sz="0" w:space="0" w:color="auto"/>
      </w:divBdr>
    </w:div>
    <w:div w:id="1327590894">
      <w:bodyDiv w:val="1"/>
      <w:marLeft w:val="0"/>
      <w:marRight w:val="0"/>
      <w:marTop w:val="0"/>
      <w:marBottom w:val="0"/>
      <w:divBdr>
        <w:top w:val="none" w:sz="0" w:space="0" w:color="auto"/>
        <w:left w:val="none" w:sz="0" w:space="0" w:color="auto"/>
        <w:bottom w:val="none" w:sz="0" w:space="0" w:color="auto"/>
        <w:right w:val="none" w:sz="0" w:space="0" w:color="auto"/>
      </w:divBdr>
    </w:div>
    <w:div w:id="1348679788">
      <w:bodyDiv w:val="1"/>
      <w:marLeft w:val="0"/>
      <w:marRight w:val="0"/>
      <w:marTop w:val="0"/>
      <w:marBottom w:val="0"/>
      <w:divBdr>
        <w:top w:val="none" w:sz="0" w:space="0" w:color="auto"/>
        <w:left w:val="none" w:sz="0" w:space="0" w:color="auto"/>
        <w:bottom w:val="none" w:sz="0" w:space="0" w:color="auto"/>
        <w:right w:val="none" w:sz="0" w:space="0" w:color="auto"/>
      </w:divBdr>
    </w:div>
    <w:div w:id="1350401982">
      <w:bodyDiv w:val="1"/>
      <w:marLeft w:val="0"/>
      <w:marRight w:val="0"/>
      <w:marTop w:val="0"/>
      <w:marBottom w:val="0"/>
      <w:divBdr>
        <w:top w:val="none" w:sz="0" w:space="0" w:color="auto"/>
        <w:left w:val="none" w:sz="0" w:space="0" w:color="auto"/>
        <w:bottom w:val="none" w:sz="0" w:space="0" w:color="auto"/>
        <w:right w:val="none" w:sz="0" w:space="0" w:color="auto"/>
      </w:divBdr>
    </w:div>
    <w:div w:id="1371491919">
      <w:bodyDiv w:val="1"/>
      <w:marLeft w:val="0"/>
      <w:marRight w:val="0"/>
      <w:marTop w:val="0"/>
      <w:marBottom w:val="0"/>
      <w:divBdr>
        <w:top w:val="none" w:sz="0" w:space="0" w:color="auto"/>
        <w:left w:val="none" w:sz="0" w:space="0" w:color="auto"/>
        <w:bottom w:val="none" w:sz="0" w:space="0" w:color="auto"/>
        <w:right w:val="none" w:sz="0" w:space="0" w:color="auto"/>
      </w:divBdr>
    </w:div>
    <w:div w:id="1375696246">
      <w:bodyDiv w:val="1"/>
      <w:marLeft w:val="0"/>
      <w:marRight w:val="0"/>
      <w:marTop w:val="0"/>
      <w:marBottom w:val="0"/>
      <w:divBdr>
        <w:top w:val="none" w:sz="0" w:space="0" w:color="auto"/>
        <w:left w:val="none" w:sz="0" w:space="0" w:color="auto"/>
        <w:bottom w:val="none" w:sz="0" w:space="0" w:color="auto"/>
        <w:right w:val="none" w:sz="0" w:space="0" w:color="auto"/>
      </w:divBdr>
    </w:div>
    <w:div w:id="1383942464">
      <w:bodyDiv w:val="1"/>
      <w:marLeft w:val="0"/>
      <w:marRight w:val="0"/>
      <w:marTop w:val="0"/>
      <w:marBottom w:val="0"/>
      <w:divBdr>
        <w:top w:val="none" w:sz="0" w:space="0" w:color="auto"/>
        <w:left w:val="none" w:sz="0" w:space="0" w:color="auto"/>
        <w:bottom w:val="none" w:sz="0" w:space="0" w:color="auto"/>
        <w:right w:val="none" w:sz="0" w:space="0" w:color="auto"/>
      </w:divBdr>
    </w:div>
    <w:div w:id="1386223508">
      <w:bodyDiv w:val="1"/>
      <w:marLeft w:val="0"/>
      <w:marRight w:val="0"/>
      <w:marTop w:val="0"/>
      <w:marBottom w:val="0"/>
      <w:divBdr>
        <w:top w:val="none" w:sz="0" w:space="0" w:color="auto"/>
        <w:left w:val="none" w:sz="0" w:space="0" w:color="auto"/>
        <w:bottom w:val="none" w:sz="0" w:space="0" w:color="auto"/>
        <w:right w:val="none" w:sz="0" w:space="0" w:color="auto"/>
      </w:divBdr>
    </w:div>
    <w:div w:id="1396851749">
      <w:bodyDiv w:val="1"/>
      <w:marLeft w:val="0"/>
      <w:marRight w:val="0"/>
      <w:marTop w:val="0"/>
      <w:marBottom w:val="0"/>
      <w:divBdr>
        <w:top w:val="none" w:sz="0" w:space="0" w:color="auto"/>
        <w:left w:val="none" w:sz="0" w:space="0" w:color="auto"/>
        <w:bottom w:val="none" w:sz="0" w:space="0" w:color="auto"/>
        <w:right w:val="none" w:sz="0" w:space="0" w:color="auto"/>
      </w:divBdr>
    </w:div>
    <w:div w:id="1398016182">
      <w:bodyDiv w:val="1"/>
      <w:marLeft w:val="0"/>
      <w:marRight w:val="0"/>
      <w:marTop w:val="0"/>
      <w:marBottom w:val="0"/>
      <w:divBdr>
        <w:top w:val="none" w:sz="0" w:space="0" w:color="auto"/>
        <w:left w:val="none" w:sz="0" w:space="0" w:color="auto"/>
        <w:bottom w:val="none" w:sz="0" w:space="0" w:color="auto"/>
        <w:right w:val="none" w:sz="0" w:space="0" w:color="auto"/>
      </w:divBdr>
    </w:div>
    <w:div w:id="1400641119">
      <w:bodyDiv w:val="1"/>
      <w:marLeft w:val="0"/>
      <w:marRight w:val="0"/>
      <w:marTop w:val="0"/>
      <w:marBottom w:val="0"/>
      <w:divBdr>
        <w:top w:val="none" w:sz="0" w:space="0" w:color="auto"/>
        <w:left w:val="none" w:sz="0" w:space="0" w:color="auto"/>
        <w:bottom w:val="none" w:sz="0" w:space="0" w:color="auto"/>
        <w:right w:val="none" w:sz="0" w:space="0" w:color="auto"/>
      </w:divBdr>
    </w:div>
    <w:div w:id="1407604916">
      <w:bodyDiv w:val="1"/>
      <w:marLeft w:val="0"/>
      <w:marRight w:val="0"/>
      <w:marTop w:val="0"/>
      <w:marBottom w:val="0"/>
      <w:divBdr>
        <w:top w:val="none" w:sz="0" w:space="0" w:color="auto"/>
        <w:left w:val="none" w:sz="0" w:space="0" w:color="auto"/>
        <w:bottom w:val="none" w:sz="0" w:space="0" w:color="auto"/>
        <w:right w:val="none" w:sz="0" w:space="0" w:color="auto"/>
      </w:divBdr>
    </w:div>
    <w:div w:id="1407993174">
      <w:bodyDiv w:val="1"/>
      <w:marLeft w:val="0"/>
      <w:marRight w:val="0"/>
      <w:marTop w:val="0"/>
      <w:marBottom w:val="0"/>
      <w:divBdr>
        <w:top w:val="none" w:sz="0" w:space="0" w:color="auto"/>
        <w:left w:val="none" w:sz="0" w:space="0" w:color="auto"/>
        <w:bottom w:val="none" w:sz="0" w:space="0" w:color="auto"/>
        <w:right w:val="none" w:sz="0" w:space="0" w:color="auto"/>
      </w:divBdr>
    </w:div>
    <w:div w:id="1408310426">
      <w:bodyDiv w:val="1"/>
      <w:marLeft w:val="0"/>
      <w:marRight w:val="0"/>
      <w:marTop w:val="0"/>
      <w:marBottom w:val="0"/>
      <w:divBdr>
        <w:top w:val="none" w:sz="0" w:space="0" w:color="auto"/>
        <w:left w:val="none" w:sz="0" w:space="0" w:color="auto"/>
        <w:bottom w:val="none" w:sz="0" w:space="0" w:color="auto"/>
        <w:right w:val="none" w:sz="0" w:space="0" w:color="auto"/>
      </w:divBdr>
    </w:div>
    <w:div w:id="1411973308">
      <w:bodyDiv w:val="1"/>
      <w:marLeft w:val="0"/>
      <w:marRight w:val="0"/>
      <w:marTop w:val="0"/>
      <w:marBottom w:val="0"/>
      <w:divBdr>
        <w:top w:val="none" w:sz="0" w:space="0" w:color="auto"/>
        <w:left w:val="none" w:sz="0" w:space="0" w:color="auto"/>
        <w:bottom w:val="none" w:sz="0" w:space="0" w:color="auto"/>
        <w:right w:val="none" w:sz="0" w:space="0" w:color="auto"/>
      </w:divBdr>
    </w:div>
    <w:div w:id="1426072931">
      <w:bodyDiv w:val="1"/>
      <w:marLeft w:val="0"/>
      <w:marRight w:val="0"/>
      <w:marTop w:val="0"/>
      <w:marBottom w:val="0"/>
      <w:divBdr>
        <w:top w:val="none" w:sz="0" w:space="0" w:color="auto"/>
        <w:left w:val="none" w:sz="0" w:space="0" w:color="auto"/>
        <w:bottom w:val="none" w:sz="0" w:space="0" w:color="auto"/>
        <w:right w:val="none" w:sz="0" w:space="0" w:color="auto"/>
      </w:divBdr>
    </w:div>
    <w:div w:id="1428506183">
      <w:bodyDiv w:val="1"/>
      <w:marLeft w:val="0"/>
      <w:marRight w:val="0"/>
      <w:marTop w:val="0"/>
      <w:marBottom w:val="0"/>
      <w:divBdr>
        <w:top w:val="none" w:sz="0" w:space="0" w:color="auto"/>
        <w:left w:val="none" w:sz="0" w:space="0" w:color="auto"/>
        <w:bottom w:val="none" w:sz="0" w:space="0" w:color="auto"/>
        <w:right w:val="none" w:sz="0" w:space="0" w:color="auto"/>
      </w:divBdr>
    </w:div>
    <w:div w:id="1433742893">
      <w:bodyDiv w:val="1"/>
      <w:marLeft w:val="0"/>
      <w:marRight w:val="0"/>
      <w:marTop w:val="0"/>
      <w:marBottom w:val="0"/>
      <w:divBdr>
        <w:top w:val="none" w:sz="0" w:space="0" w:color="auto"/>
        <w:left w:val="none" w:sz="0" w:space="0" w:color="auto"/>
        <w:bottom w:val="none" w:sz="0" w:space="0" w:color="auto"/>
        <w:right w:val="none" w:sz="0" w:space="0" w:color="auto"/>
      </w:divBdr>
    </w:div>
    <w:div w:id="1438981181">
      <w:bodyDiv w:val="1"/>
      <w:marLeft w:val="0"/>
      <w:marRight w:val="0"/>
      <w:marTop w:val="0"/>
      <w:marBottom w:val="0"/>
      <w:divBdr>
        <w:top w:val="none" w:sz="0" w:space="0" w:color="auto"/>
        <w:left w:val="none" w:sz="0" w:space="0" w:color="auto"/>
        <w:bottom w:val="none" w:sz="0" w:space="0" w:color="auto"/>
        <w:right w:val="none" w:sz="0" w:space="0" w:color="auto"/>
      </w:divBdr>
    </w:div>
    <w:div w:id="1453017747">
      <w:bodyDiv w:val="1"/>
      <w:marLeft w:val="0"/>
      <w:marRight w:val="0"/>
      <w:marTop w:val="0"/>
      <w:marBottom w:val="0"/>
      <w:divBdr>
        <w:top w:val="none" w:sz="0" w:space="0" w:color="auto"/>
        <w:left w:val="none" w:sz="0" w:space="0" w:color="auto"/>
        <w:bottom w:val="none" w:sz="0" w:space="0" w:color="auto"/>
        <w:right w:val="none" w:sz="0" w:space="0" w:color="auto"/>
      </w:divBdr>
    </w:div>
    <w:div w:id="1457723673">
      <w:bodyDiv w:val="1"/>
      <w:marLeft w:val="0"/>
      <w:marRight w:val="0"/>
      <w:marTop w:val="0"/>
      <w:marBottom w:val="0"/>
      <w:divBdr>
        <w:top w:val="none" w:sz="0" w:space="0" w:color="auto"/>
        <w:left w:val="none" w:sz="0" w:space="0" w:color="auto"/>
        <w:bottom w:val="none" w:sz="0" w:space="0" w:color="auto"/>
        <w:right w:val="none" w:sz="0" w:space="0" w:color="auto"/>
      </w:divBdr>
    </w:div>
    <w:div w:id="1470706211">
      <w:bodyDiv w:val="1"/>
      <w:marLeft w:val="0"/>
      <w:marRight w:val="0"/>
      <w:marTop w:val="0"/>
      <w:marBottom w:val="0"/>
      <w:divBdr>
        <w:top w:val="none" w:sz="0" w:space="0" w:color="auto"/>
        <w:left w:val="none" w:sz="0" w:space="0" w:color="auto"/>
        <w:bottom w:val="none" w:sz="0" w:space="0" w:color="auto"/>
        <w:right w:val="none" w:sz="0" w:space="0" w:color="auto"/>
      </w:divBdr>
    </w:div>
    <w:div w:id="1472015353">
      <w:bodyDiv w:val="1"/>
      <w:marLeft w:val="0"/>
      <w:marRight w:val="0"/>
      <w:marTop w:val="0"/>
      <w:marBottom w:val="0"/>
      <w:divBdr>
        <w:top w:val="none" w:sz="0" w:space="0" w:color="auto"/>
        <w:left w:val="none" w:sz="0" w:space="0" w:color="auto"/>
        <w:bottom w:val="none" w:sz="0" w:space="0" w:color="auto"/>
        <w:right w:val="none" w:sz="0" w:space="0" w:color="auto"/>
      </w:divBdr>
    </w:div>
    <w:div w:id="1473212586">
      <w:bodyDiv w:val="1"/>
      <w:marLeft w:val="0"/>
      <w:marRight w:val="0"/>
      <w:marTop w:val="0"/>
      <w:marBottom w:val="0"/>
      <w:divBdr>
        <w:top w:val="none" w:sz="0" w:space="0" w:color="auto"/>
        <w:left w:val="none" w:sz="0" w:space="0" w:color="auto"/>
        <w:bottom w:val="none" w:sz="0" w:space="0" w:color="auto"/>
        <w:right w:val="none" w:sz="0" w:space="0" w:color="auto"/>
      </w:divBdr>
    </w:div>
    <w:div w:id="1475441338">
      <w:bodyDiv w:val="1"/>
      <w:marLeft w:val="0"/>
      <w:marRight w:val="0"/>
      <w:marTop w:val="0"/>
      <w:marBottom w:val="0"/>
      <w:divBdr>
        <w:top w:val="none" w:sz="0" w:space="0" w:color="auto"/>
        <w:left w:val="none" w:sz="0" w:space="0" w:color="auto"/>
        <w:bottom w:val="none" w:sz="0" w:space="0" w:color="auto"/>
        <w:right w:val="none" w:sz="0" w:space="0" w:color="auto"/>
      </w:divBdr>
    </w:div>
    <w:div w:id="1488665053">
      <w:bodyDiv w:val="1"/>
      <w:marLeft w:val="0"/>
      <w:marRight w:val="0"/>
      <w:marTop w:val="0"/>
      <w:marBottom w:val="0"/>
      <w:divBdr>
        <w:top w:val="none" w:sz="0" w:space="0" w:color="auto"/>
        <w:left w:val="none" w:sz="0" w:space="0" w:color="auto"/>
        <w:bottom w:val="none" w:sz="0" w:space="0" w:color="auto"/>
        <w:right w:val="none" w:sz="0" w:space="0" w:color="auto"/>
      </w:divBdr>
      <w:divsChild>
        <w:div w:id="748189386">
          <w:marLeft w:val="0"/>
          <w:marRight w:val="0"/>
          <w:marTop w:val="0"/>
          <w:marBottom w:val="0"/>
          <w:divBdr>
            <w:top w:val="none" w:sz="0" w:space="0" w:color="auto"/>
            <w:left w:val="none" w:sz="0" w:space="0" w:color="auto"/>
            <w:bottom w:val="none" w:sz="0" w:space="0" w:color="auto"/>
            <w:right w:val="none" w:sz="0" w:space="0" w:color="auto"/>
          </w:divBdr>
          <w:divsChild>
            <w:div w:id="956528156">
              <w:marLeft w:val="-225"/>
              <w:marRight w:val="-225"/>
              <w:marTop w:val="0"/>
              <w:marBottom w:val="0"/>
              <w:divBdr>
                <w:top w:val="none" w:sz="0" w:space="0" w:color="auto"/>
                <w:left w:val="none" w:sz="0" w:space="0" w:color="auto"/>
                <w:bottom w:val="none" w:sz="0" w:space="0" w:color="auto"/>
                <w:right w:val="none" w:sz="0" w:space="0" w:color="auto"/>
              </w:divBdr>
              <w:divsChild>
                <w:div w:id="2068069585">
                  <w:marLeft w:val="0"/>
                  <w:marRight w:val="0"/>
                  <w:marTop w:val="0"/>
                  <w:marBottom w:val="0"/>
                  <w:divBdr>
                    <w:top w:val="none" w:sz="0" w:space="0" w:color="auto"/>
                    <w:left w:val="none" w:sz="0" w:space="0" w:color="auto"/>
                    <w:bottom w:val="none" w:sz="0" w:space="0" w:color="auto"/>
                    <w:right w:val="none" w:sz="0" w:space="0" w:color="auto"/>
                  </w:divBdr>
                  <w:divsChild>
                    <w:div w:id="658773407">
                      <w:marLeft w:val="-225"/>
                      <w:marRight w:val="-225"/>
                      <w:marTop w:val="0"/>
                      <w:marBottom w:val="0"/>
                      <w:divBdr>
                        <w:top w:val="none" w:sz="0" w:space="0" w:color="auto"/>
                        <w:left w:val="none" w:sz="0" w:space="0" w:color="auto"/>
                        <w:bottom w:val="none" w:sz="0" w:space="0" w:color="auto"/>
                        <w:right w:val="none" w:sz="0" w:space="0" w:color="auto"/>
                      </w:divBdr>
                      <w:divsChild>
                        <w:div w:id="1672101646">
                          <w:marLeft w:val="0"/>
                          <w:marRight w:val="0"/>
                          <w:marTop w:val="0"/>
                          <w:marBottom w:val="0"/>
                          <w:divBdr>
                            <w:top w:val="none" w:sz="0" w:space="0" w:color="auto"/>
                            <w:left w:val="none" w:sz="0" w:space="0" w:color="auto"/>
                            <w:bottom w:val="none" w:sz="0" w:space="0" w:color="auto"/>
                            <w:right w:val="none" w:sz="0" w:space="0" w:color="auto"/>
                          </w:divBdr>
                          <w:divsChild>
                            <w:div w:id="393046810">
                              <w:marLeft w:val="0"/>
                              <w:marRight w:val="0"/>
                              <w:marTop w:val="0"/>
                              <w:marBottom w:val="0"/>
                              <w:divBdr>
                                <w:top w:val="none" w:sz="0" w:space="0" w:color="auto"/>
                                <w:left w:val="none" w:sz="0" w:space="0" w:color="auto"/>
                                <w:bottom w:val="none" w:sz="0" w:space="0" w:color="auto"/>
                                <w:right w:val="none" w:sz="0" w:space="0" w:color="auto"/>
                              </w:divBdr>
                              <w:divsChild>
                                <w:div w:id="1387218806">
                                  <w:marLeft w:val="0"/>
                                  <w:marRight w:val="0"/>
                                  <w:marTop w:val="0"/>
                                  <w:marBottom w:val="0"/>
                                  <w:divBdr>
                                    <w:top w:val="none" w:sz="0" w:space="0" w:color="auto"/>
                                    <w:left w:val="none" w:sz="0" w:space="0" w:color="auto"/>
                                    <w:bottom w:val="none" w:sz="0" w:space="0" w:color="auto"/>
                                    <w:right w:val="none" w:sz="0" w:space="0" w:color="auto"/>
                                  </w:divBdr>
                                  <w:divsChild>
                                    <w:div w:id="2101830181">
                                      <w:marLeft w:val="0"/>
                                      <w:marRight w:val="0"/>
                                      <w:marTop w:val="0"/>
                                      <w:marBottom w:val="0"/>
                                      <w:divBdr>
                                        <w:top w:val="none" w:sz="0" w:space="0" w:color="auto"/>
                                        <w:left w:val="none" w:sz="0" w:space="0" w:color="auto"/>
                                        <w:bottom w:val="none" w:sz="0" w:space="0" w:color="auto"/>
                                        <w:right w:val="none" w:sz="0" w:space="0" w:color="auto"/>
                                      </w:divBdr>
                                      <w:divsChild>
                                        <w:div w:id="1328898582">
                                          <w:marLeft w:val="0"/>
                                          <w:marRight w:val="0"/>
                                          <w:marTop w:val="0"/>
                                          <w:marBottom w:val="0"/>
                                          <w:divBdr>
                                            <w:top w:val="none" w:sz="0" w:space="0" w:color="auto"/>
                                            <w:left w:val="none" w:sz="0" w:space="0" w:color="auto"/>
                                            <w:bottom w:val="none" w:sz="0" w:space="0" w:color="auto"/>
                                            <w:right w:val="none" w:sz="0" w:space="0" w:color="auto"/>
                                          </w:divBdr>
                                          <w:divsChild>
                                            <w:div w:id="357122194">
                                              <w:marLeft w:val="0"/>
                                              <w:marRight w:val="0"/>
                                              <w:marTop w:val="0"/>
                                              <w:marBottom w:val="0"/>
                                              <w:divBdr>
                                                <w:top w:val="none" w:sz="0" w:space="0" w:color="auto"/>
                                                <w:left w:val="none" w:sz="0" w:space="0" w:color="auto"/>
                                                <w:bottom w:val="none" w:sz="0" w:space="0" w:color="auto"/>
                                                <w:right w:val="none" w:sz="0" w:space="0" w:color="auto"/>
                                              </w:divBdr>
                                              <w:divsChild>
                                                <w:div w:id="1575966093">
                                                  <w:marLeft w:val="0"/>
                                                  <w:marRight w:val="0"/>
                                                  <w:marTop w:val="0"/>
                                                  <w:marBottom w:val="0"/>
                                                  <w:divBdr>
                                                    <w:top w:val="none" w:sz="0" w:space="0" w:color="auto"/>
                                                    <w:left w:val="none" w:sz="0" w:space="0" w:color="auto"/>
                                                    <w:bottom w:val="none" w:sz="0" w:space="0" w:color="auto"/>
                                                    <w:right w:val="none" w:sz="0" w:space="0" w:color="auto"/>
                                                  </w:divBdr>
                                                  <w:divsChild>
                                                    <w:div w:id="275215414">
                                                      <w:marLeft w:val="0"/>
                                                      <w:marRight w:val="0"/>
                                                      <w:marTop w:val="0"/>
                                                      <w:marBottom w:val="0"/>
                                                      <w:divBdr>
                                                        <w:top w:val="none" w:sz="0" w:space="0" w:color="auto"/>
                                                        <w:left w:val="none" w:sz="0" w:space="0" w:color="auto"/>
                                                        <w:bottom w:val="none" w:sz="0" w:space="0" w:color="auto"/>
                                                        <w:right w:val="none" w:sz="0" w:space="0" w:color="auto"/>
                                                      </w:divBdr>
                                                      <w:divsChild>
                                                        <w:div w:id="787045533">
                                                          <w:marLeft w:val="0"/>
                                                          <w:marRight w:val="0"/>
                                                          <w:marTop w:val="0"/>
                                                          <w:marBottom w:val="0"/>
                                                          <w:divBdr>
                                                            <w:top w:val="none" w:sz="0" w:space="0" w:color="auto"/>
                                                            <w:left w:val="none" w:sz="0" w:space="0" w:color="auto"/>
                                                            <w:bottom w:val="none" w:sz="0" w:space="0" w:color="auto"/>
                                                            <w:right w:val="none" w:sz="0" w:space="0" w:color="auto"/>
                                                          </w:divBdr>
                                                          <w:divsChild>
                                                            <w:div w:id="2017726600">
                                                              <w:marLeft w:val="0"/>
                                                              <w:marRight w:val="0"/>
                                                              <w:marTop w:val="0"/>
                                                              <w:marBottom w:val="0"/>
                                                              <w:divBdr>
                                                                <w:top w:val="none" w:sz="0" w:space="0" w:color="auto"/>
                                                                <w:left w:val="none" w:sz="0" w:space="0" w:color="auto"/>
                                                                <w:bottom w:val="none" w:sz="0" w:space="0" w:color="auto"/>
                                                                <w:right w:val="none" w:sz="0" w:space="0" w:color="auto"/>
                                                              </w:divBdr>
                                                              <w:divsChild>
                                                                <w:div w:id="96364628">
                                                                  <w:marLeft w:val="0"/>
                                                                  <w:marRight w:val="0"/>
                                                                  <w:marTop w:val="0"/>
                                                                  <w:marBottom w:val="0"/>
                                                                  <w:divBdr>
                                                                    <w:top w:val="none" w:sz="0" w:space="0" w:color="auto"/>
                                                                    <w:left w:val="none" w:sz="0" w:space="0" w:color="auto"/>
                                                                    <w:bottom w:val="none" w:sz="0" w:space="0" w:color="auto"/>
                                                                    <w:right w:val="none" w:sz="0" w:space="0" w:color="auto"/>
                                                                  </w:divBdr>
                                                                  <w:divsChild>
                                                                    <w:div w:id="359362262">
                                                                      <w:marLeft w:val="0"/>
                                                                      <w:marRight w:val="0"/>
                                                                      <w:marTop w:val="0"/>
                                                                      <w:marBottom w:val="0"/>
                                                                      <w:divBdr>
                                                                        <w:top w:val="none" w:sz="0" w:space="0" w:color="auto"/>
                                                                        <w:left w:val="none" w:sz="0" w:space="0" w:color="auto"/>
                                                                        <w:bottom w:val="none" w:sz="0" w:space="0" w:color="auto"/>
                                                                        <w:right w:val="none" w:sz="0" w:space="0" w:color="auto"/>
                                                                      </w:divBdr>
                                                                    </w:div>
                                                                    <w:div w:id="500972058">
                                                                      <w:marLeft w:val="0"/>
                                                                      <w:marRight w:val="0"/>
                                                                      <w:marTop w:val="0"/>
                                                                      <w:marBottom w:val="0"/>
                                                                      <w:divBdr>
                                                                        <w:top w:val="none" w:sz="0" w:space="0" w:color="auto"/>
                                                                        <w:left w:val="none" w:sz="0" w:space="0" w:color="auto"/>
                                                                        <w:bottom w:val="none" w:sz="0" w:space="0" w:color="auto"/>
                                                                        <w:right w:val="none" w:sz="0" w:space="0" w:color="auto"/>
                                                                      </w:divBdr>
                                                                    </w:div>
                                                                    <w:div w:id="120240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92796217">
      <w:bodyDiv w:val="1"/>
      <w:marLeft w:val="0"/>
      <w:marRight w:val="0"/>
      <w:marTop w:val="0"/>
      <w:marBottom w:val="0"/>
      <w:divBdr>
        <w:top w:val="none" w:sz="0" w:space="0" w:color="auto"/>
        <w:left w:val="none" w:sz="0" w:space="0" w:color="auto"/>
        <w:bottom w:val="none" w:sz="0" w:space="0" w:color="auto"/>
        <w:right w:val="none" w:sz="0" w:space="0" w:color="auto"/>
      </w:divBdr>
    </w:div>
    <w:div w:id="1493377229">
      <w:bodyDiv w:val="1"/>
      <w:marLeft w:val="0"/>
      <w:marRight w:val="0"/>
      <w:marTop w:val="0"/>
      <w:marBottom w:val="0"/>
      <w:divBdr>
        <w:top w:val="none" w:sz="0" w:space="0" w:color="auto"/>
        <w:left w:val="none" w:sz="0" w:space="0" w:color="auto"/>
        <w:bottom w:val="none" w:sz="0" w:space="0" w:color="auto"/>
        <w:right w:val="none" w:sz="0" w:space="0" w:color="auto"/>
      </w:divBdr>
    </w:div>
    <w:div w:id="1495760361">
      <w:bodyDiv w:val="1"/>
      <w:marLeft w:val="0"/>
      <w:marRight w:val="0"/>
      <w:marTop w:val="0"/>
      <w:marBottom w:val="0"/>
      <w:divBdr>
        <w:top w:val="none" w:sz="0" w:space="0" w:color="auto"/>
        <w:left w:val="none" w:sz="0" w:space="0" w:color="auto"/>
        <w:bottom w:val="none" w:sz="0" w:space="0" w:color="auto"/>
        <w:right w:val="none" w:sz="0" w:space="0" w:color="auto"/>
      </w:divBdr>
    </w:div>
    <w:div w:id="1495760663">
      <w:bodyDiv w:val="1"/>
      <w:marLeft w:val="0"/>
      <w:marRight w:val="0"/>
      <w:marTop w:val="0"/>
      <w:marBottom w:val="0"/>
      <w:divBdr>
        <w:top w:val="none" w:sz="0" w:space="0" w:color="auto"/>
        <w:left w:val="none" w:sz="0" w:space="0" w:color="auto"/>
        <w:bottom w:val="none" w:sz="0" w:space="0" w:color="auto"/>
        <w:right w:val="none" w:sz="0" w:space="0" w:color="auto"/>
      </w:divBdr>
    </w:div>
    <w:div w:id="1497187942">
      <w:bodyDiv w:val="1"/>
      <w:marLeft w:val="0"/>
      <w:marRight w:val="0"/>
      <w:marTop w:val="0"/>
      <w:marBottom w:val="0"/>
      <w:divBdr>
        <w:top w:val="none" w:sz="0" w:space="0" w:color="auto"/>
        <w:left w:val="none" w:sz="0" w:space="0" w:color="auto"/>
        <w:bottom w:val="none" w:sz="0" w:space="0" w:color="auto"/>
        <w:right w:val="none" w:sz="0" w:space="0" w:color="auto"/>
      </w:divBdr>
    </w:div>
    <w:div w:id="1513179814">
      <w:bodyDiv w:val="1"/>
      <w:marLeft w:val="0"/>
      <w:marRight w:val="0"/>
      <w:marTop w:val="0"/>
      <w:marBottom w:val="0"/>
      <w:divBdr>
        <w:top w:val="none" w:sz="0" w:space="0" w:color="auto"/>
        <w:left w:val="none" w:sz="0" w:space="0" w:color="auto"/>
        <w:bottom w:val="none" w:sz="0" w:space="0" w:color="auto"/>
        <w:right w:val="none" w:sz="0" w:space="0" w:color="auto"/>
      </w:divBdr>
    </w:div>
    <w:div w:id="1515414019">
      <w:bodyDiv w:val="1"/>
      <w:marLeft w:val="0"/>
      <w:marRight w:val="0"/>
      <w:marTop w:val="0"/>
      <w:marBottom w:val="0"/>
      <w:divBdr>
        <w:top w:val="none" w:sz="0" w:space="0" w:color="auto"/>
        <w:left w:val="none" w:sz="0" w:space="0" w:color="auto"/>
        <w:bottom w:val="none" w:sz="0" w:space="0" w:color="auto"/>
        <w:right w:val="none" w:sz="0" w:space="0" w:color="auto"/>
      </w:divBdr>
    </w:div>
    <w:div w:id="1520583140">
      <w:bodyDiv w:val="1"/>
      <w:marLeft w:val="0"/>
      <w:marRight w:val="0"/>
      <w:marTop w:val="0"/>
      <w:marBottom w:val="0"/>
      <w:divBdr>
        <w:top w:val="none" w:sz="0" w:space="0" w:color="auto"/>
        <w:left w:val="none" w:sz="0" w:space="0" w:color="auto"/>
        <w:bottom w:val="none" w:sz="0" w:space="0" w:color="auto"/>
        <w:right w:val="none" w:sz="0" w:space="0" w:color="auto"/>
      </w:divBdr>
    </w:div>
    <w:div w:id="1525051059">
      <w:bodyDiv w:val="1"/>
      <w:marLeft w:val="0"/>
      <w:marRight w:val="0"/>
      <w:marTop w:val="0"/>
      <w:marBottom w:val="0"/>
      <w:divBdr>
        <w:top w:val="none" w:sz="0" w:space="0" w:color="auto"/>
        <w:left w:val="none" w:sz="0" w:space="0" w:color="auto"/>
        <w:bottom w:val="none" w:sz="0" w:space="0" w:color="auto"/>
        <w:right w:val="none" w:sz="0" w:space="0" w:color="auto"/>
      </w:divBdr>
    </w:div>
    <w:div w:id="1527211806">
      <w:bodyDiv w:val="1"/>
      <w:marLeft w:val="0"/>
      <w:marRight w:val="0"/>
      <w:marTop w:val="0"/>
      <w:marBottom w:val="0"/>
      <w:divBdr>
        <w:top w:val="none" w:sz="0" w:space="0" w:color="auto"/>
        <w:left w:val="none" w:sz="0" w:space="0" w:color="auto"/>
        <w:bottom w:val="none" w:sz="0" w:space="0" w:color="auto"/>
        <w:right w:val="none" w:sz="0" w:space="0" w:color="auto"/>
      </w:divBdr>
    </w:div>
    <w:div w:id="1531341099">
      <w:bodyDiv w:val="1"/>
      <w:marLeft w:val="0"/>
      <w:marRight w:val="0"/>
      <w:marTop w:val="0"/>
      <w:marBottom w:val="0"/>
      <w:divBdr>
        <w:top w:val="none" w:sz="0" w:space="0" w:color="auto"/>
        <w:left w:val="none" w:sz="0" w:space="0" w:color="auto"/>
        <w:bottom w:val="none" w:sz="0" w:space="0" w:color="auto"/>
        <w:right w:val="none" w:sz="0" w:space="0" w:color="auto"/>
      </w:divBdr>
    </w:div>
    <w:div w:id="1532496336">
      <w:bodyDiv w:val="1"/>
      <w:marLeft w:val="0"/>
      <w:marRight w:val="0"/>
      <w:marTop w:val="0"/>
      <w:marBottom w:val="0"/>
      <w:divBdr>
        <w:top w:val="none" w:sz="0" w:space="0" w:color="auto"/>
        <w:left w:val="none" w:sz="0" w:space="0" w:color="auto"/>
        <w:bottom w:val="none" w:sz="0" w:space="0" w:color="auto"/>
        <w:right w:val="none" w:sz="0" w:space="0" w:color="auto"/>
      </w:divBdr>
    </w:div>
    <w:div w:id="1532836320">
      <w:bodyDiv w:val="1"/>
      <w:marLeft w:val="0"/>
      <w:marRight w:val="0"/>
      <w:marTop w:val="0"/>
      <w:marBottom w:val="0"/>
      <w:divBdr>
        <w:top w:val="none" w:sz="0" w:space="0" w:color="auto"/>
        <w:left w:val="none" w:sz="0" w:space="0" w:color="auto"/>
        <w:bottom w:val="none" w:sz="0" w:space="0" w:color="auto"/>
        <w:right w:val="none" w:sz="0" w:space="0" w:color="auto"/>
      </w:divBdr>
    </w:div>
    <w:div w:id="1533227048">
      <w:bodyDiv w:val="1"/>
      <w:marLeft w:val="0"/>
      <w:marRight w:val="0"/>
      <w:marTop w:val="0"/>
      <w:marBottom w:val="0"/>
      <w:divBdr>
        <w:top w:val="none" w:sz="0" w:space="0" w:color="auto"/>
        <w:left w:val="none" w:sz="0" w:space="0" w:color="auto"/>
        <w:bottom w:val="none" w:sz="0" w:space="0" w:color="auto"/>
        <w:right w:val="none" w:sz="0" w:space="0" w:color="auto"/>
      </w:divBdr>
    </w:div>
    <w:div w:id="1542937243">
      <w:bodyDiv w:val="1"/>
      <w:marLeft w:val="0"/>
      <w:marRight w:val="0"/>
      <w:marTop w:val="0"/>
      <w:marBottom w:val="0"/>
      <w:divBdr>
        <w:top w:val="none" w:sz="0" w:space="0" w:color="auto"/>
        <w:left w:val="none" w:sz="0" w:space="0" w:color="auto"/>
        <w:bottom w:val="none" w:sz="0" w:space="0" w:color="auto"/>
        <w:right w:val="none" w:sz="0" w:space="0" w:color="auto"/>
      </w:divBdr>
    </w:div>
    <w:div w:id="1545748606">
      <w:bodyDiv w:val="1"/>
      <w:marLeft w:val="0"/>
      <w:marRight w:val="0"/>
      <w:marTop w:val="0"/>
      <w:marBottom w:val="0"/>
      <w:divBdr>
        <w:top w:val="none" w:sz="0" w:space="0" w:color="auto"/>
        <w:left w:val="none" w:sz="0" w:space="0" w:color="auto"/>
        <w:bottom w:val="none" w:sz="0" w:space="0" w:color="auto"/>
        <w:right w:val="none" w:sz="0" w:space="0" w:color="auto"/>
      </w:divBdr>
    </w:div>
    <w:div w:id="1548178013">
      <w:bodyDiv w:val="1"/>
      <w:marLeft w:val="0"/>
      <w:marRight w:val="0"/>
      <w:marTop w:val="0"/>
      <w:marBottom w:val="0"/>
      <w:divBdr>
        <w:top w:val="none" w:sz="0" w:space="0" w:color="auto"/>
        <w:left w:val="none" w:sz="0" w:space="0" w:color="auto"/>
        <w:bottom w:val="none" w:sz="0" w:space="0" w:color="auto"/>
        <w:right w:val="none" w:sz="0" w:space="0" w:color="auto"/>
      </w:divBdr>
    </w:div>
    <w:div w:id="1560510237">
      <w:bodyDiv w:val="1"/>
      <w:marLeft w:val="0"/>
      <w:marRight w:val="0"/>
      <w:marTop w:val="0"/>
      <w:marBottom w:val="0"/>
      <w:divBdr>
        <w:top w:val="none" w:sz="0" w:space="0" w:color="auto"/>
        <w:left w:val="none" w:sz="0" w:space="0" w:color="auto"/>
        <w:bottom w:val="none" w:sz="0" w:space="0" w:color="auto"/>
        <w:right w:val="none" w:sz="0" w:space="0" w:color="auto"/>
      </w:divBdr>
    </w:div>
    <w:div w:id="1561742977">
      <w:bodyDiv w:val="1"/>
      <w:marLeft w:val="0"/>
      <w:marRight w:val="0"/>
      <w:marTop w:val="0"/>
      <w:marBottom w:val="0"/>
      <w:divBdr>
        <w:top w:val="none" w:sz="0" w:space="0" w:color="auto"/>
        <w:left w:val="none" w:sz="0" w:space="0" w:color="auto"/>
        <w:bottom w:val="none" w:sz="0" w:space="0" w:color="auto"/>
        <w:right w:val="none" w:sz="0" w:space="0" w:color="auto"/>
      </w:divBdr>
    </w:div>
    <w:div w:id="1562904718">
      <w:bodyDiv w:val="1"/>
      <w:marLeft w:val="0"/>
      <w:marRight w:val="0"/>
      <w:marTop w:val="0"/>
      <w:marBottom w:val="0"/>
      <w:divBdr>
        <w:top w:val="none" w:sz="0" w:space="0" w:color="auto"/>
        <w:left w:val="none" w:sz="0" w:space="0" w:color="auto"/>
        <w:bottom w:val="none" w:sz="0" w:space="0" w:color="auto"/>
        <w:right w:val="none" w:sz="0" w:space="0" w:color="auto"/>
      </w:divBdr>
    </w:div>
    <w:div w:id="1569418945">
      <w:bodyDiv w:val="1"/>
      <w:marLeft w:val="0"/>
      <w:marRight w:val="0"/>
      <w:marTop w:val="0"/>
      <w:marBottom w:val="0"/>
      <w:divBdr>
        <w:top w:val="none" w:sz="0" w:space="0" w:color="auto"/>
        <w:left w:val="none" w:sz="0" w:space="0" w:color="auto"/>
        <w:bottom w:val="none" w:sz="0" w:space="0" w:color="auto"/>
        <w:right w:val="none" w:sz="0" w:space="0" w:color="auto"/>
      </w:divBdr>
    </w:div>
    <w:div w:id="1569724829">
      <w:bodyDiv w:val="1"/>
      <w:marLeft w:val="0"/>
      <w:marRight w:val="0"/>
      <w:marTop w:val="0"/>
      <w:marBottom w:val="0"/>
      <w:divBdr>
        <w:top w:val="none" w:sz="0" w:space="0" w:color="auto"/>
        <w:left w:val="none" w:sz="0" w:space="0" w:color="auto"/>
        <w:bottom w:val="none" w:sz="0" w:space="0" w:color="auto"/>
        <w:right w:val="none" w:sz="0" w:space="0" w:color="auto"/>
      </w:divBdr>
    </w:div>
    <w:div w:id="1570338643">
      <w:bodyDiv w:val="1"/>
      <w:marLeft w:val="0"/>
      <w:marRight w:val="0"/>
      <w:marTop w:val="0"/>
      <w:marBottom w:val="0"/>
      <w:divBdr>
        <w:top w:val="none" w:sz="0" w:space="0" w:color="auto"/>
        <w:left w:val="none" w:sz="0" w:space="0" w:color="auto"/>
        <w:bottom w:val="none" w:sz="0" w:space="0" w:color="auto"/>
        <w:right w:val="none" w:sz="0" w:space="0" w:color="auto"/>
      </w:divBdr>
    </w:div>
    <w:div w:id="1571623058">
      <w:bodyDiv w:val="1"/>
      <w:marLeft w:val="0"/>
      <w:marRight w:val="0"/>
      <w:marTop w:val="0"/>
      <w:marBottom w:val="0"/>
      <w:divBdr>
        <w:top w:val="none" w:sz="0" w:space="0" w:color="auto"/>
        <w:left w:val="none" w:sz="0" w:space="0" w:color="auto"/>
        <w:bottom w:val="none" w:sz="0" w:space="0" w:color="auto"/>
        <w:right w:val="none" w:sz="0" w:space="0" w:color="auto"/>
      </w:divBdr>
    </w:div>
    <w:div w:id="1573465031">
      <w:bodyDiv w:val="1"/>
      <w:marLeft w:val="0"/>
      <w:marRight w:val="0"/>
      <w:marTop w:val="0"/>
      <w:marBottom w:val="0"/>
      <w:divBdr>
        <w:top w:val="none" w:sz="0" w:space="0" w:color="auto"/>
        <w:left w:val="none" w:sz="0" w:space="0" w:color="auto"/>
        <w:bottom w:val="none" w:sz="0" w:space="0" w:color="auto"/>
        <w:right w:val="none" w:sz="0" w:space="0" w:color="auto"/>
      </w:divBdr>
    </w:div>
    <w:div w:id="1574005607">
      <w:bodyDiv w:val="1"/>
      <w:marLeft w:val="0"/>
      <w:marRight w:val="0"/>
      <w:marTop w:val="0"/>
      <w:marBottom w:val="0"/>
      <w:divBdr>
        <w:top w:val="none" w:sz="0" w:space="0" w:color="auto"/>
        <w:left w:val="none" w:sz="0" w:space="0" w:color="auto"/>
        <w:bottom w:val="none" w:sz="0" w:space="0" w:color="auto"/>
        <w:right w:val="none" w:sz="0" w:space="0" w:color="auto"/>
      </w:divBdr>
    </w:div>
    <w:div w:id="1592425838">
      <w:bodyDiv w:val="1"/>
      <w:marLeft w:val="0"/>
      <w:marRight w:val="0"/>
      <w:marTop w:val="0"/>
      <w:marBottom w:val="0"/>
      <w:divBdr>
        <w:top w:val="none" w:sz="0" w:space="0" w:color="auto"/>
        <w:left w:val="none" w:sz="0" w:space="0" w:color="auto"/>
        <w:bottom w:val="none" w:sz="0" w:space="0" w:color="auto"/>
        <w:right w:val="none" w:sz="0" w:space="0" w:color="auto"/>
      </w:divBdr>
    </w:div>
    <w:div w:id="1593394723">
      <w:bodyDiv w:val="1"/>
      <w:marLeft w:val="0"/>
      <w:marRight w:val="0"/>
      <w:marTop w:val="0"/>
      <w:marBottom w:val="0"/>
      <w:divBdr>
        <w:top w:val="none" w:sz="0" w:space="0" w:color="auto"/>
        <w:left w:val="none" w:sz="0" w:space="0" w:color="auto"/>
        <w:bottom w:val="none" w:sz="0" w:space="0" w:color="auto"/>
        <w:right w:val="none" w:sz="0" w:space="0" w:color="auto"/>
      </w:divBdr>
    </w:div>
    <w:div w:id="1610698743">
      <w:bodyDiv w:val="1"/>
      <w:marLeft w:val="0"/>
      <w:marRight w:val="0"/>
      <w:marTop w:val="0"/>
      <w:marBottom w:val="0"/>
      <w:divBdr>
        <w:top w:val="none" w:sz="0" w:space="0" w:color="auto"/>
        <w:left w:val="none" w:sz="0" w:space="0" w:color="auto"/>
        <w:bottom w:val="none" w:sz="0" w:space="0" w:color="auto"/>
        <w:right w:val="none" w:sz="0" w:space="0" w:color="auto"/>
      </w:divBdr>
    </w:div>
    <w:div w:id="1613972750">
      <w:bodyDiv w:val="1"/>
      <w:marLeft w:val="0"/>
      <w:marRight w:val="0"/>
      <w:marTop w:val="0"/>
      <w:marBottom w:val="0"/>
      <w:divBdr>
        <w:top w:val="none" w:sz="0" w:space="0" w:color="auto"/>
        <w:left w:val="none" w:sz="0" w:space="0" w:color="auto"/>
        <w:bottom w:val="none" w:sz="0" w:space="0" w:color="auto"/>
        <w:right w:val="none" w:sz="0" w:space="0" w:color="auto"/>
      </w:divBdr>
    </w:div>
    <w:div w:id="1615988589">
      <w:bodyDiv w:val="1"/>
      <w:marLeft w:val="0"/>
      <w:marRight w:val="0"/>
      <w:marTop w:val="0"/>
      <w:marBottom w:val="0"/>
      <w:divBdr>
        <w:top w:val="none" w:sz="0" w:space="0" w:color="auto"/>
        <w:left w:val="none" w:sz="0" w:space="0" w:color="auto"/>
        <w:bottom w:val="none" w:sz="0" w:space="0" w:color="auto"/>
        <w:right w:val="none" w:sz="0" w:space="0" w:color="auto"/>
      </w:divBdr>
    </w:div>
    <w:div w:id="1616063293">
      <w:bodyDiv w:val="1"/>
      <w:marLeft w:val="0"/>
      <w:marRight w:val="0"/>
      <w:marTop w:val="0"/>
      <w:marBottom w:val="0"/>
      <w:divBdr>
        <w:top w:val="none" w:sz="0" w:space="0" w:color="auto"/>
        <w:left w:val="none" w:sz="0" w:space="0" w:color="auto"/>
        <w:bottom w:val="none" w:sz="0" w:space="0" w:color="auto"/>
        <w:right w:val="none" w:sz="0" w:space="0" w:color="auto"/>
      </w:divBdr>
    </w:div>
    <w:div w:id="1622423089">
      <w:bodyDiv w:val="1"/>
      <w:marLeft w:val="0"/>
      <w:marRight w:val="0"/>
      <w:marTop w:val="0"/>
      <w:marBottom w:val="0"/>
      <w:divBdr>
        <w:top w:val="none" w:sz="0" w:space="0" w:color="auto"/>
        <w:left w:val="none" w:sz="0" w:space="0" w:color="auto"/>
        <w:bottom w:val="none" w:sz="0" w:space="0" w:color="auto"/>
        <w:right w:val="none" w:sz="0" w:space="0" w:color="auto"/>
      </w:divBdr>
    </w:div>
    <w:div w:id="1622883181">
      <w:bodyDiv w:val="1"/>
      <w:marLeft w:val="0"/>
      <w:marRight w:val="0"/>
      <w:marTop w:val="0"/>
      <w:marBottom w:val="0"/>
      <w:divBdr>
        <w:top w:val="none" w:sz="0" w:space="0" w:color="auto"/>
        <w:left w:val="none" w:sz="0" w:space="0" w:color="auto"/>
        <w:bottom w:val="none" w:sz="0" w:space="0" w:color="auto"/>
        <w:right w:val="none" w:sz="0" w:space="0" w:color="auto"/>
      </w:divBdr>
    </w:div>
    <w:div w:id="1623615205">
      <w:bodyDiv w:val="1"/>
      <w:marLeft w:val="0"/>
      <w:marRight w:val="0"/>
      <w:marTop w:val="0"/>
      <w:marBottom w:val="0"/>
      <w:divBdr>
        <w:top w:val="none" w:sz="0" w:space="0" w:color="auto"/>
        <w:left w:val="none" w:sz="0" w:space="0" w:color="auto"/>
        <w:bottom w:val="none" w:sz="0" w:space="0" w:color="auto"/>
        <w:right w:val="none" w:sz="0" w:space="0" w:color="auto"/>
      </w:divBdr>
    </w:div>
    <w:div w:id="1625191518">
      <w:bodyDiv w:val="1"/>
      <w:marLeft w:val="0"/>
      <w:marRight w:val="0"/>
      <w:marTop w:val="0"/>
      <w:marBottom w:val="0"/>
      <w:divBdr>
        <w:top w:val="none" w:sz="0" w:space="0" w:color="auto"/>
        <w:left w:val="none" w:sz="0" w:space="0" w:color="auto"/>
        <w:bottom w:val="none" w:sz="0" w:space="0" w:color="auto"/>
        <w:right w:val="none" w:sz="0" w:space="0" w:color="auto"/>
      </w:divBdr>
    </w:div>
    <w:div w:id="1627850043">
      <w:bodyDiv w:val="1"/>
      <w:marLeft w:val="0"/>
      <w:marRight w:val="0"/>
      <w:marTop w:val="0"/>
      <w:marBottom w:val="0"/>
      <w:divBdr>
        <w:top w:val="none" w:sz="0" w:space="0" w:color="auto"/>
        <w:left w:val="none" w:sz="0" w:space="0" w:color="auto"/>
        <w:bottom w:val="none" w:sz="0" w:space="0" w:color="auto"/>
        <w:right w:val="none" w:sz="0" w:space="0" w:color="auto"/>
      </w:divBdr>
    </w:div>
    <w:div w:id="1628124834">
      <w:bodyDiv w:val="1"/>
      <w:marLeft w:val="0"/>
      <w:marRight w:val="0"/>
      <w:marTop w:val="0"/>
      <w:marBottom w:val="0"/>
      <w:divBdr>
        <w:top w:val="none" w:sz="0" w:space="0" w:color="auto"/>
        <w:left w:val="none" w:sz="0" w:space="0" w:color="auto"/>
        <w:bottom w:val="none" w:sz="0" w:space="0" w:color="auto"/>
        <w:right w:val="none" w:sz="0" w:space="0" w:color="auto"/>
      </w:divBdr>
    </w:div>
    <w:div w:id="1631092158">
      <w:bodyDiv w:val="1"/>
      <w:marLeft w:val="0"/>
      <w:marRight w:val="0"/>
      <w:marTop w:val="0"/>
      <w:marBottom w:val="0"/>
      <w:divBdr>
        <w:top w:val="none" w:sz="0" w:space="0" w:color="auto"/>
        <w:left w:val="none" w:sz="0" w:space="0" w:color="auto"/>
        <w:bottom w:val="none" w:sz="0" w:space="0" w:color="auto"/>
        <w:right w:val="none" w:sz="0" w:space="0" w:color="auto"/>
      </w:divBdr>
    </w:div>
    <w:div w:id="1635259356">
      <w:bodyDiv w:val="1"/>
      <w:marLeft w:val="0"/>
      <w:marRight w:val="0"/>
      <w:marTop w:val="0"/>
      <w:marBottom w:val="0"/>
      <w:divBdr>
        <w:top w:val="none" w:sz="0" w:space="0" w:color="auto"/>
        <w:left w:val="none" w:sz="0" w:space="0" w:color="auto"/>
        <w:bottom w:val="none" w:sz="0" w:space="0" w:color="auto"/>
        <w:right w:val="none" w:sz="0" w:space="0" w:color="auto"/>
      </w:divBdr>
    </w:div>
    <w:div w:id="1636255720">
      <w:bodyDiv w:val="1"/>
      <w:marLeft w:val="0"/>
      <w:marRight w:val="0"/>
      <w:marTop w:val="0"/>
      <w:marBottom w:val="0"/>
      <w:divBdr>
        <w:top w:val="none" w:sz="0" w:space="0" w:color="auto"/>
        <w:left w:val="none" w:sz="0" w:space="0" w:color="auto"/>
        <w:bottom w:val="none" w:sz="0" w:space="0" w:color="auto"/>
        <w:right w:val="none" w:sz="0" w:space="0" w:color="auto"/>
      </w:divBdr>
    </w:div>
    <w:div w:id="1642927659">
      <w:bodyDiv w:val="1"/>
      <w:marLeft w:val="0"/>
      <w:marRight w:val="0"/>
      <w:marTop w:val="0"/>
      <w:marBottom w:val="0"/>
      <w:divBdr>
        <w:top w:val="none" w:sz="0" w:space="0" w:color="auto"/>
        <w:left w:val="none" w:sz="0" w:space="0" w:color="auto"/>
        <w:bottom w:val="none" w:sz="0" w:space="0" w:color="auto"/>
        <w:right w:val="none" w:sz="0" w:space="0" w:color="auto"/>
      </w:divBdr>
    </w:div>
    <w:div w:id="1650018886">
      <w:bodyDiv w:val="1"/>
      <w:marLeft w:val="0"/>
      <w:marRight w:val="0"/>
      <w:marTop w:val="0"/>
      <w:marBottom w:val="0"/>
      <w:divBdr>
        <w:top w:val="none" w:sz="0" w:space="0" w:color="auto"/>
        <w:left w:val="none" w:sz="0" w:space="0" w:color="auto"/>
        <w:bottom w:val="none" w:sz="0" w:space="0" w:color="auto"/>
        <w:right w:val="none" w:sz="0" w:space="0" w:color="auto"/>
      </w:divBdr>
    </w:div>
    <w:div w:id="1657297213">
      <w:bodyDiv w:val="1"/>
      <w:marLeft w:val="0"/>
      <w:marRight w:val="0"/>
      <w:marTop w:val="0"/>
      <w:marBottom w:val="0"/>
      <w:divBdr>
        <w:top w:val="none" w:sz="0" w:space="0" w:color="auto"/>
        <w:left w:val="none" w:sz="0" w:space="0" w:color="auto"/>
        <w:bottom w:val="none" w:sz="0" w:space="0" w:color="auto"/>
        <w:right w:val="none" w:sz="0" w:space="0" w:color="auto"/>
      </w:divBdr>
    </w:div>
    <w:div w:id="1660379214">
      <w:bodyDiv w:val="1"/>
      <w:marLeft w:val="0"/>
      <w:marRight w:val="0"/>
      <w:marTop w:val="0"/>
      <w:marBottom w:val="0"/>
      <w:divBdr>
        <w:top w:val="none" w:sz="0" w:space="0" w:color="auto"/>
        <w:left w:val="none" w:sz="0" w:space="0" w:color="auto"/>
        <w:bottom w:val="none" w:sz="0" w:space="0" w:color="auto"/>
        <w:right w:val="none" w:sz="0" w:space="0" w:color="auto"/>
      </w:divBdr>
    </w:div>
    <w:div w:id="1672443125">
      <w:bodyDiv w:val="1"/>
      <w:marLeft w:val="0"/>
      <w:marRight w:val="0"/>
      <w:marTop w:val="0"/>
      <w:marBottom w:val="0"/>
      <w:divBdr>
        <w:top w:val="none" w:sz="0" w:space="0" w:color="auto"/>
        <w:left w:val="none" w:sz="0" w:space="0" w:color="auto"/>
        <w:bottom w:val="none" w:sz="0" w:space="0" w:color="auto"/>
        <w:right w:val="none" w:sz="0" w:space="0" w:color="auto"/>
      </w:divBdr>
    </w:div>
    <w:div w:id="1678575781">
      <w:bodyDiv w:val="1"/>
      <w:marLeft w:val="0"/>
      <w:marRight w:val="0"/>
      <w:marTop w:val="0"/>
      <w:marBottom w:val="0"/>
      <w:divBdr>
        <w:top w:val="none" w:sz="0" w:space="0" w:color="auto"/>
        <w:left w:val="none" w:sz="0" w:space="0" w:color="auto"/>
        <w:bottom w:val="none" w:sz="0" w:space="0" w:color="auto"/>
        <w:right w:val="none" w:sz="0" w:space="0" w:color="auto"/>
      </w:divBdr>
    </w:div>
    <w:div w:id="1681080084">
      <w:bodyDiv w:val="1"/>
      <w:marLeft w:val="0"/>
      <w:marRight w:val="0"/>
      <w:marTop w:val="0"/>
      <w:marBottom w:val="0"/>
      <w:divBdr>
        <w:top w:val="none" w:sz="0" w:space="0" w:color="auto"/>
        <w:left w:val="none" w:sz="0" w:space="0" w:color="auto"/>
        <w:bottom w:val="none" w:sz="0" w:space="0" w:color="auto"/>
        <w:right w:val="none" w:sz="0" w:space="0" w:color="auto"/>
      </w:divBdr>
    </w:div>
    <w:div w:id="1684551804">
      <w:bodyDiv w:val="1"/>
      <w:marLeft w:val="0"/>
      <w:marRight w:val="0"/>
      <w:marTop w:val="0"/>
      <w:marBottom w:val="0"/>
      <w:divBdr>
        <w:top w:val="none" w:sz="0" w:space="0" w:color="auto"/>
        <w:left w:val="none" w:sz="0" w:space="0" w:color="auto"/>
        <w:bottom w:val="none" w:sz="0" w:space="0" w:color="auto"/>
        <w:right w:val="none" w:sz="0" w:space="0" w:color="auto"/>
      </w:divBdr>
    </w:div>
    <w:div w:id="1686783933">
      <w:bodyDiv w:val="1"/>
      <w:marLeft w:val="0"/>
      <w:marRight w:val="0"/>
      <w:marTop w:val="0"/>
      <w:marBottom w:val="0"/>
      <w:divBdr>
        <w:top w:val="none" w:sz="0" w:space="0" w:color="auto"/>
        <w:left w:val="none" w:sz="0" w:space="0" w:color="auto"/>
        <w:bottom w:val="none" w:sz="0" w:space="0" w:color="auto"/>
        <w:right w:val="none" w:sz="0" w:space="0" w:color="auto"/>
      </w:divBdr>
    </w:div>
    <w:div w:id="1689019360">
      <w:bodyDiv w:val="1"/>
      <w:marLeft w:val="0"/>
      <w:marRight w:val="0"/>
      <w:marTop w:val="0"/>
      <w:marBottom w:val="0"/>
      <w:divBdr>
        <w:top w:val="none" w:sz="0" w:space="0" w:color="auto"/>
        <w:left w:val="none" w:sz="0" w:space="0" w:color="auto"/>
        <w:bottom w:val="none" w:sz="0" w:space="0" w:color="auto"/>
        <w:right w:val="none" w:sz="0" w:space="0" w:color="auto"/>
      </w:divBdr>
    </w:div>
    <w:div w:id="1690714569">
      <w:bodyDiv w:val="1"/>
      <w:marLeft w:val="0"/>
      <w:marRight w:val="0"/>
      <w:marTop w:val="0"/>
      <w:marBottom w:val="0"/>
      <w:divBdr>
        <w:top w:val="none" w:sz="0" w:space="0" w:color="auto"/>
        <w:left w:val="none" w:sz="0" w:space="0" w:color="auto"/>
        <w:bottom w:val="none" w:sz="0" w:space="0" w:color="auto"/>
        <w:right w:val="none" w:sz="0" w:space="0" w:color="auto"/>
      </w:divBdr>
    </w:div>
    <w:div w:id="1691369267">
      <w:bodyDiv w:val="1"/>
      <w:marLeft w:val="0"/>
      <w:marRight w:val="0"/>
      <w:marTop w:val="0"/>
      <w:marBottom w:val="0"/>
      <w:divBdr>
        <w:top w:val="none" w:sz="0" w:space="0" w:color="auto"/>
        <w:left w:val="none" w:sz="0" w:space="0" w:color="auto"/>
        <w:bottom w:val="none" w:sz="0" w:space="0" w:color="auto"/>
        <w:right w:val="none" w:sz="0" w:space="0" w:color="auto"/>
      </w:divBdr>
    </w:div>
    <w:div w:id="1692104907">
      <w:bodyDiv w:val="1"/>
      <w:marLeft w:val="0"/>
      <w:marRight w:val="0"/>
      <w:marTop w:val="0"/>
      <w:marBottom w:val="0"/>
      <w:divBdr>
        <w:top w:val="none" w:sz="0" w:space="0" w:color="auto"/>
        <w:left w:val="none" w:sz="0" w:space="0" w:color="auto"/>
        <w:bottom w:val="none" w:sz="0" w:space="0" w:color="auto"/>
        <w:right w:val="none" w:sz="0" w:space="0" w:color="auto"/>
      </w:divBdr>
    </w:div>
    <w:div w:id="1693677996">
      <w:bodyDiv w:val="1"/>
      <w:marLeft w:val="0"/>
      <w:marRight w:val="0"/>
      <w:marTop w:val="0"/>
      <w:marBottom w:val="0"/>
      <w:divBdr>
        <w:top w:val="none" w:sz="0" w:space="0" w:color="auto"/>
        <w:left w:val="none" w:sz="0" w:space="0" w:color="auto"/>
        <w:bottom w:val="none" w:sz="0" w:space="0" w:color="auto"/>
        <w:right w:val="none" w:sz="0" w:space="0" w:color="auto"/>
      </w:divBdr>
    </w:div>
    <w:div w:id="1694258196">
      <w:bodyDiv w:val="1"/>
      <w:marLeft w:val="0"/>
      <w:marRight w:val="0"/>
      <w:marTop w:val="0"/>
      <w:marBottom w:val="0"/>
      <w:divBdr>
        <w:top w:val="none" w:sz="0" w:space="0" w:color="auto"/>
        <w:left w:val="none" w:sz="0" w:space="0" w:color="auto"/>
        <w:bottom w:val="none" w:sz="0" w:space="0" w:color="auto"/>
        <w:right w:val="none" w:sz="0" w:space="0" w:color="auto"/>
      </w:divBdr>
    </w:div>
    <w:div w:id="1696997148">
      <w:bodyDiv w:val="1"/>
      <w:marLeft w:val="0"/>
      <w:marRight w:val="0"/>
      <w:marTop w:val="0"/>
      <w:marBottom w:val="0"/>
      <w:divBdr>
        <w:top w:val="none" w:sz="0" w:space="0" w:color="auto"/>
        <w:left w:val="none" w:sz="0" w:space="0" w:color="auto"/>
        <w:bottom w:val="none" w:sz="0" w:space="0" w:color="auto"/>
        <w:right w:val="none" w:sz="0" w:space="0" w:color="auto"/>
      </w:divBdr>
    </w:div>
    <w:div w:id="1699161420">
      <w:bodyDiv w:val="1"/>
      <w:marLeft w:val="0"/>
      <w:marRight w:val="0"/>
      <w:marTop w:val="0"/>
      <w:marBottom w:val="0"/>
      <w:divBdr>
        <w:top w:val="none" w:sz="0" w:space="0" w:color="auto"/>
        <w:left w:val="none" w:sz="0" w:space="0" w:color="auto"/>
        <w:bottom w:val="none" w:sz="0" w:space="0" w:color="auto"/>
        <w:right w:val="none" w:sz="0" w:space="0" w:color="auto"/>
      </w:divBdr>
    </w:div>
    <w:div w:id="1700812593">
      <w:bodyDiv w:val="1"/>
      <w:marLeft w:val="0"/>
      <w:marRight w:val="0"/>
      <w:marTop w:val="0"/>
      <w:marBottom w:val="0"/>
      <w:divBdr>
        <w:top w:val="none" w:sz="0" w:space="0" w:color="auto"/>
        <w:left w:val="none" w:sz="0" w:space="0" w:color="auto"/>
        <w:bottom w:val="none" w:sz="0" w:space="0" w:color="auto"/>
        <w:right w:val="none" w:sz="0" w:space="0" w:color="auto"/>
      </w:divBdr>
    </w:div>
    <w:div w:id="1709990841">
      <w:bodyDiv w:val="1"/>
      <w:marLeft w:val="0"/>
      <w:marRight w:val="0"/>
      <w:marTop w:val="0"/>
      <w:marBottom w:val="0"/>
      <w:divBdr>
        <w:top w:val="none" w:sz="0" w:space="0" w:color="auto"/>
        <w:left w:val="none" w:sz="0" w:space="0" w:color="auto"/>
        <w:bottom w:val="none" w:sz="0" w:space="0" w:color="auto"/>
        <w:right w:val="none" w:sz="0" w:space="0" w:color="auto"/>
      </w:divBdr>
    </w:div>
    <w:div w:id="1711878288">
      <w:bodyDiv w:val="1"/>
      <w:marLeft w:val="0"/>
      <w:marRight w:val="0"/>
      <w:marTop w:val="0"/>
      <w:marBottom w:val="0"/>
      <w:divBdr>
        <w:top w:val="none" w:sz="0" w:space="0" w:color="auto"/>
        <w:left w:val="none" w:sz="0" w:space="0" w:color="auto"/>
        <w:bottom w:val="none" w:sz="0" w:space="0" w:color="auto"/>
        <w:right w:val="none" w:sz="0" w:space="0" w:color="auto"/>
      </w:divBdr>
    </w:div>
    <w:div w:id="1717048464">
      <w:bodyDiv w:val="1"/>
      <w:marLeft w:val="0"/>
      <w:marRight w:val="0"/>
      <w:marTop w:val="0"/>
      <w:marBottom w:val="0"/>
      <w:divBdr>
        <w:top w:val="none" w:sz="0" w:space="0" w:color="auto"/>
        <w:left w:val="none" w:sz="0" w:space="0" w:color="auto"/>
        <w:bottom w:val="none" w:sz="0" w:space="0" w:color="auto"/>
        <w:right w:val="none" w:sz="0" w:space="0" w:color="auto"/>
      </w:divBdr>
    </w:div>
    <w:div w:id="1719668389">
      <w:bodyDiv w:val="1"/>
      <w:marLeft w:val="0"/>
      <w:marRight w:val="0"/>
      <w:marTop w:val="0"/>
      <w:marBottom w:val="0"/>
      <w:divBdr>
        <w:top w:val="none" w:sz="0" w:space="0" w:color="auto"/>
        <w:left w:val="none" w:sz="0" w:space="0" w:color="auto"/>
        <w:bottom w:val="none" w:sz="0" w:space="0" w:color="auto"/>
        <w:right w:val="none" w:sz="0" w:space="0" w:color="auto"/>
      </w:divBdr>
    </w:div>
    <w:div w:id="1725717097">
      <w:bodyDiv w:val="1"/>
      <w:marLeft w:val="0"/>
      <w:marRight w:val="0"/>
      <w:marTop w:val="0"/>
      <w:marBottom w:val="0"/>
      <w:divBdr>
        <w:top w:val="none" w:sz="0" w:space="0" w:color="auto"/>
        <w:left w:val="none" w:sz="0" w:space="0" w:color="auto"/>
        <w:bottom w:val="none" w:sz="0" w:space="0" w:color="auto"/>
        <w:right w:val="none" w:sz="0" w:space="0" w:color="auto"/>
      </w:divBdr>
    </w:div>
    <w:div w:id="1728186630">
      <w:bodyDiv w:val="1"/>
      <w:marLeft w:val="0"/>
      <w:marRight w:val="0"/>
      <w:marTop w:val="0"/>
      <w:marBottom w:val="0"/>
      <w:divBdr>
        <w:top w:val="none" w:sz="0" w:space="0" w:color="auto"/>
        <w:left w:val="none" w:sz="0" w:space="0" w:color="auto"/>
        <w:bottom w:val="none" w:sz="0" w:space="0" w:color="auto"/>
        <w:right w:val="none" w:sz="0" w:space="0" w:color="auto"/>
      </w:divBdr>
    </w:div>
    <w:div w:id="1737430288">
      <w:bodyDiv w:val="1"/>
      <w:marLeft w:val="0"/>
      <w:marRight w:val="0"/>
      <w:marTop w:val="0"/>
      <w:marBottom w:val="0"/>
      <w:divBdr>
        <w:top w:val="none" w:sz="0" w:space="0" w:color="auto"/>
        <w:left w:val="none" w:sz="0" w:space="0" w:color="auto"/>
        <w:bottom w:val="none" w:sz="0" w:space="0" w:color="auto"/>
        <w:right w:val="none" w:sz="0" w:space="0" w:color="auto"/>
      </w:divBdr>
    </w:div>
    <w:div w:id="1765490563">
      <w:bodyDiv w:val="1"/>
      <w:marLeft w:val="0"/>
      <w:marRight w:val="0"/>
      <w:marTop w:val="0"/>
      <w:marBottom w:val="0"/>
      <w:divBdr>
        <w:top w:val="none" w:sz="0" w:space="0" w:color="auto"/>
        <w:left w:val="none" w:sz="0" w:space="0" w:color="auto"/>
        <w:bottom w:val="none" w:sz="0" w:space="0" w:color="auto"/>
        <w:right w:val="none" w:sz="0" w:space="0" w:color="auto"/>
      </w:divBdr>
    </w:div>
    <w:div w:id="1769497099">
      <w:bodyDiv w:val="1"/>
      <w:marLeft w:val="0"/>
      <w:marRight w:val="0"/>
      <w:marTop w:val="0"/>
      <w:marBottom w:val="0"/>
      <w:divBdr>
        <w:top w:val="none" w:sz="0" w:space="0" w:color="auto"/>
        <w:left w:val="none" w:sz="0" w:space="0" w:color="auto"/>
        <w:bottom w:val="none" w:sz="0" w:space="0" w:color="auto"/>
        <w:right w:val="none" w:sz="0" w:space="0" w:color="auto"/>
      </w:divBdr>
    </w:div>
    <w:div w:id="1770547043">
      <w:bodyDiv w:val="1"/>
      <w:marLeft w:val="0"/>
      <w:marRight w:val="0"/>
      <w:marTop w:val="0"/>
      <w:marBottom w:val="0"/>
      <w:divBdr>
        <w:top w:val="none" w:sz="0" w:space="0" w:color="auto"/>
        <w:left w:val="none" w:sz="0" w:space="0" w:color="auto"/>
        <w:bottom w:val="none" w:sz="0" w:space="0" w:color="auto"/>
        <w:right w:val="none" w:sz="0" w:space="0" w:color="auto"/>
      </w:divBdr>
    </w:div>
    <w:div w:id="1776703594">
      <w:bodyDiv w:val="1"/>
      <w:marLeft w:val="0"/>
      <w:marRight w:val="0"/>
      <w:marTop w:val="0"/>
      <w:marBottom w:val="0"/>
      <w:divBdr>
        <w:top w:val="none" w:sz="0" w:space="0" w:color="auto"/>
        <w:left w:val="none" w:sz="0" w:space="0" w:color="auto"/>
        <w:bottom w:val="none" w:sz="0" w:space="0" w:color="auto"/>
        <w:right w:val="none" w:sz="0" w:space="0" w:color="auto"/>
      </w:divBdr>
    </w:div>
    <w:div w:id="1779636015">
      <w:bodyDiv w:val="1"/>
      <w:marLeft w:val="0"/>
      <w:marRight w:val="0"/>
      <w:marTop w:val="0"/>
      <w:marBottom w:val="0"/>
      <w:divBdr>
        <w:top w:val="none" w:sz="0" w:space="0" w:color="auto"/>
        <w:left w:val="none" w:sz="0" w:space="0" w:color="auto"/>
        <w:bottom w:val="none" w:sz="0" w:space="0" w:color="auto"/>
        <w:right w:val="none" w:sz="0" w:space="0" w:color="auto"/>
      </w:divBdr>
    </w:div>
    <w:div w:id="1781336762">
      <w:bodyDiv w:val="1"/>
      <w:marLeft w:val="0"/>
      <w:marRight w:val="0"/>
      <w:marTop w:val="0"/>
      <w:marBottom w:val="0"/>
      <w:divBdr>
        <w:top w:val="none" w:sz="0" w:space="0" w:color="auto"/>
        <w:left w:val="none" w:sz="0" w:space="0" w:color="auto"/>
        <w:bottom w:val="none" w:sz="0" w:space="0" w:color="auto"/>
        <w:right w:val="none" w:sz="0" w:space="0" w:color="auto"/>
      </w:divBdr>
    </w:div>
    <w:div w:id="1785810411">
      <w:bodyDiv w:val="1"/>
      <w:marLeft w:val="0"/>
      <w:marRight w:val="0"/>
      <w:marTop w:val="0"/>
      <w:marBottom w:val="0"/>
      <w:divBdr>
        <w:top w:val="none" w:sz="0" w:space="0" w:color="auto"/>
        <w:left w:val="none" w:sz="0" w:space="0" w:color="auto"/>
        <w:bottom w:val="none" w:sz="0" w:space="0" w:color="auto"/>
        <w:right w:val="none" w:sz="0" w:space="0" w:color="auto"/>
      </w:divBdr>
    </w:div>
    <w:div w:id="1786656153">
      <w:bodyDiv w:val="1"/>
      <w:marLeft w:val="0"/>
      <w:marRight w:val="0"/>
      <w:marTop w:val="0"/>
      <w:marBottom w:val="0"/>
      <w:divBdr>
        <w:top w:val="none" w:sz="0" w:space="0" w:color="auto"/>
        <w:left w:val="none" w:sz="0" w:space="0" w:color="auto"/>
        <w:bottom w:val="none" w:sz="0" w:space="0" w:color="auto"/>
        <w:right w:val="none" w:sz="0" w:space="0" w:color="auto"/>
      </w:divBdr>
    </w:div>
    <w:div w:id="1791048344">
      <w:bodyDiv w:val="1"/>
      <w:marLeft w:val="0"/>
      <w:marRight w:val="0"/>
      <w:marTop w:val="0"/>
      <w:marBottom w:val="0"/>
      <w:divBdr>
        <w:top w:val="none" w:sz="0" w:space="0" w:color="auto"/>
        <w:left w:val="none" w:sz="0" w:space="0" w:color="auto"/>
        <w:bottom w:val="none" w:sz="0" w:space="0" w:color="auto"/>
        <w:right w:val="none" w:sz="0" w:space="0" w:color="auto"/>
      </w:divBdr>
    </w:div>
    <w:div w:id="1799689753">
      <w:bodyDiv w:val="1"/>
      <w:marLeft w:val="0"/>
      <w:marRight w:val="0"/>
      <w:marTop w:val="0"/>
      <w:marBottom w:val="0"/>
      <w:divBdr>
        <w:top w:val="none" w:sz="0" w:space="0" w:color="auto"/>
        <w:left w:val="none" w:sz="0" w:space="0" w:color="auto"/>
        <w:bottom w:val="none" w:sz="0" w:space="0" w:color="auto"/>
        <w:right w:val="none" w:sz="0" w:space="0" w:color="auto"/>
      </w:divBdr>
    </w:div>
    <w:div w:id="1802264384">
      <w:bodyDiv w:val="1"/>
      <w:marLeft w:val="0"/>
      <w:marRight w:val="0"/>
      <w:marTop w:val="0"/>
      <w:marBottom w:val="0"/>
      <w:divBdr>
        <w:top w:val="none" w:sz="0" w:space="0" w:color="auto"/>
        <w:left w:val="none" w:sz="0" w:space="0" w:color="auto"/>
        <w:bottom w:val="none" w:sz="0" w:space="0" w:color="auto"/>
        <w:right w:val="none" w:sz="0" w:space="0" w:color="auto"/>
      </w:divBdr>
    </w:div>
    <w:div w:id="1803233668">
      <w:bodyDiv w:val="1"/>
      <w:marLeft w:val="0"/>
      <w:marRight w:val="0"/>
      <w:marTop w:val="0"/>
      <w:marBottom w:val="0"/>
      <w:divBdr>
        <w:top w:val="none" w:sz="0" w:space="0" w:color="auto"/>
        <w:left w:val="none" w:sz="0" w:space="0" w:color="auto"/>
        <w:bottom w:val="none" w:sz="0" w:space="0" w:color="auto"/>
        <w:right w:val="none" w:sz="0" w:space="0" w:color="auto"/>
      </w:divBdr>
    </w:div>
    <w:div w:id="1809543551">
      <w:bodyDiv w:val="1"/>
      <w:marLeft w:val="0"/>
      <w:marRight w:val="0"/>
      <w:marTop w:val="0"/>
      <w:marBottom w:val="0"/>
      <w:divBdr>
        <w:top w:val="none" w:sz="0" w:space="0" w:color="auto"/>
        <w:left w:val="none" w:sz="0" w:space="0" w:color="auto"/>
        <w:bottom w:val="none" w:sz="0" w:space="0" w:color="auto"/>
        <w:right w:val="none" w:sz="0" w:space="0" w:color="auto"/>
      </w:divBdr>
    </w:div>
    <w:div w:id="1819031779">
      <w:bodyDiv w:val="1"/>
      <w:marLeft w:val="0"/>
      <w:marRight w:val="0"/>
      <w:marTop w:val="0"/>
      <w:marBottom w:val="0"/>
      <w:divBdr>
        <w:top w:val="none" w:sz="0" w:space="0" w:color="auto"/>
        <w:left w:val="none" w:sz="0" w:space="0" w:color="auto"/>
        <w:bottom w:val="none" w:sz="0" w:space="0" w:color="auto"/>
        <w:right w:val="none" w:sz="0" w:space="0" w:color="auto"/>
      </w:divBdr>
    </w:div>
    <w:div w:id="1822037672">
      <w:bodyDiv w:val="1"/>
      <w:marLeft w:val="0"/>
      <w:marRight w:val="0"/>
      <w:marTop w:val="0"/>
      <w:marBottom w:val="0"/>
      <w:divBdr>
        <w:top w:val="none" w:sz="0" w:space="0" w:color="auto"/>
        <w:left w:val="none" w:sz="0" w:space="0" w:color="auto"/>
        <w:bottom w:val="none" w:sz="0" w:space="0" w:color="auto"/>
        <w:right w:val="none" w:sz="0" w:space="0" w:color="auto"/>
      </w:divBdr>
    </w:div>
    <w:div w:id="1823158661">
      <w:bodyDiv w:val="1"/>
      <w:marLeft w:val="0"/>
      <w:marRight w:val="0"/>
      <w:marTop w:val="0"/>
      <w:marBottom w:val="0"/>
      <w:divBdr>
        <w:top w:val="none" w:sz="0" w:space="0" w:color="auto"/>
        <w:left w:val="none" w:sz="0" w:space="0" w:color="auto"/>
        <w:bottom w:val="none" w:sz="0" w:space="0" w:color="auto"/>
        <w:right w:val="none" w:sz="0" w:space="0" w:color="auto"/>
      </w:divBdr>
    </w:div>
    <w:div w:id="1828741629">
      <w:bodyDiv w:val="1"/>
      <w:marLeft w:val="0"/>
      <w:marRight w:val="0"/>
      <w:marTop w:val="0"/>
      <w:marBottom w:val="0"/>
      <w:divBdr>
        <w:top w:val="none" w:sz="0" w:space="0" w:color="auto"/>
        <w:left w:val="none" w:sz="0" w:space="0" w:color="auto"/>
        <w:bottom w:val="none" w:sz="0" w:space="0" w:color="auto"/>
        <w:right w:val="none" w:sz="0" w:space="0" w:color="auto"/>
      </w:divBdr>
    </w:div>
    <w:div w:id="1829712127">
      <w:bodyDiv w:val="1"/>
      <w:marLeft w:val="0"/>
      <w:marRight w:val="0"/>
      <w:marTop w:val="0"/>
      <w:marBottom w:val="0"/>
      <w:divBdr>
        <w:top w:val="none" w:sz="0" w:space="0" w:color="auto"/>
        <w:left w:val="none" w:sz="0" w:space="0" w:color="auto"/>
        <w:bottom w:val="none" w:sz="0" w:space="0" w:color="auto"/>
        <w:right w:val="none" w:sz="0" w:space="0" w:color="auto"/>
      </w:divBdr>
    </w:div>
    <w:div w:id="1837451419">
      <w:bodyDiv w:val="1"/>
      <w:marLeft w:val="0"/>
      <w:marRight w:val="0"/>
      <w:marTop w:val="0"/>
      <w:marBottom w:val="0"/>
      <w:divBdr>
        <w:top w:val="none" w:sz="0" w:space="0" w:color="auto"/>
        <w:left w:val="none" w:sz="0" w:space="0" w:color="auto"/>
        <w:bottom w:val="none" w:sz="0" w:space="0" w:color="auto"/>
        <w:right w:val="none" w:sz="0" w:space="0" w:color="auto"/>
      </w:divBdr>
    </w:div>
    <w:div w:id="1838688982">
      <w:bodyDiv w:val="1"/>
      <w:marLeft w:val="0"/>
      <w:marRight w:val="0"/>
      <w:marTop w:val="0"/>
      <w:marBottom w:val="0"/>
      <w:divBdr>
        <w:top w:val="none" w:sz="0" w:space="0" w:color="auto"/>
        <w:left w:val="none" w:sz="0" w:space="0" w:color="auto"/>
        <w:bottom w:val="none" w:sz="0" w:space="0" w:color="auto"/>
        <w:right w:val="none" w:sz="0" w:space="0" w:color="auto"/>
      </w:divBdr>
    </w:div>
    <w:div w:id="1844318968">
      <w:bodyDiv w:val="1"/>
      <w:marLeft w:val="0"/>
      <w:marRight w:val="0"/>
      <w:marTop w:val="0"/>
      <w:marBottom w:val="0"/>
      <w:divBdr>
        <w:top w:val="none" w:sz="0" w:space="0" w:color="auto"/>
        <w:left w:val="none" w:sz="0" w:space="0" w:color="auto"/>
        <w:bottom w:val="none" w:sz="0" w:space="0" w:color="auto"/>
        <w:right w:val="none" w:sz="0" w:space="0" w:color="auto"/>
      </w:divBdr>
    </w:div>
    <w:div w:id="1850484045">
      <w:bodyDiv w:val="1"/>
      <w:marLeft w:val="0"/>
      <w:marRight w:val="0"/>
      <w:marTop w:val="0"/>
      <w:marBottom w:val="0"/>
      <w:divBdr>
        <w:top w:val="none" w:sz="0" w:space="0" w:color="auto"/>
        <w:left w:val="none" w:sz="0" w:space="0" w:color="auto"/>
        <w:bottom w:val="none" w:sz="0" w:space="0" w:color="auto"/>
        <w:right w:val="none" w:sz="0" w:space="0" w:color="auto"/>
      </w:divBdr>
      <w:divsChild>
        <w:div w:id="1308893946">
          <w:marLeft w:val="0"/>
          <w:marRight w:val="0"/>
          <w:marTop w:val="0"/>
          <w:marBottom w:val="0"/>
          <w:divBdr>
            <w:top w:val="none" w:sz="0" w:space="0" w:color="auto"/>
            <w:left w:val="none" w:sz="0" w:space="0" w:color="auto"/>
            <w:bottom w:val="none" w:sz="0" w:space="0" w:color="auto"/>
            <w:right w:val="none" w:sz="0" w:space="0" w:color="auto"/>
          </w:divBdr>
        </w:div>
        <w:div w:id="1825126746">
          <w:marLeft w:val="0"/>
          <w:marRight w:val="0"/>
          <w:marTop w:val="0"/>
          <w:marBottom w:val="0"/>
          <w:divBdr>
            <w:top w:val="none" w:sz="0" w:space="0" w:color="auto"/>
            <w:left w:val="none" w:sz="0" w:space="0" w:color="auto"/>
            <w:bottom w:val="none" w:sz="0" w:space="0" w:color="auto"/>
            <w:right w:val="none" w:sz="0" w:space="0" w:color="auto"/>
          </w:divBdr>
        </w:div>
        <w:div w:id="1855531531">
          <w:marLeft w:val="0"/>
          <w:marRight w:val="0"/>
          <w:marTop w:val="0"/>
          <w:marBottom w:val="0"/>
          <w:divBdr>
            <w:top w:val="none" w:sz="0" w:space="0" w:color="auto"/>
            <w:left w:val="none" w:sz="0" w:space="0" w:color="auto"/>
            <w:bottom w:val="none" w:sz="0" w:space="0" w:color="auto"/>
            <w:right w:val="none" w:sz="0" w:space="0" w:color="auto"/>
          </w:divBdr>
        </w:div>
        <w:div w:id="1962032982">
          <w:marLeft w:val="0"/>
          <w:marRight w:val="0"/>
          <w:marTop w:val="0"/>
          <w:marBottom w:val="0"/>
          <w:divBdr>
            <w:top w:val="none" w:sz="0" w:space="0" w:color="auto"/>
            <w:left w:val="none" w:sz="0" w:space="0" w:color="auto"/>
            <w:bottom w:val="none" w:sz="0" w:space="0" w:color="auto"/>
            <w:right w:val="none" w:sz="0" w:space="0" w:color="auto"/>
          </w:divBdr>
        </w:div>
      </w:divsChild>
    </w:div>
    <w:div w:id="1850749555">
      <w:bodyDiv w:val="1"/>
      <w:marLeft w:val="0"/>
      <w:marRight w:val="0"/>
      <w:marTop w:val="0"/>
      <w:marBottom w:val="0"/>
      <w:divBdr>
        <w:top w:val="none" w:sz="0" w:space="0" w:color="auto"/>
        <w:left w:val="none" w:sz="0" w:space="0" w:color="auto"/>
        <w:bottom w:val="none" w:sz="0" w:space="0" w:color="auto"/>
        <w:right w:val="none" w:sz="0" w:space="0" w:color="auto"/>
      </w:divBdr>
    </w:div>
    <w:div w:id="1857770682">
      <w:bodyDiv w:val="1"/>
      <w:marLeft w:val="0"/>
      <w:marRight w:val="0"/>
      <w:marTop w:val="0"/>
      <w:marBottom w:val="0"/>
      <w:divBdr>
        <w:top w:val="none" w:sz="0" w:space="0" w:color="auto"/>
        <w:left w:val="none" w:sz="0" w:space="0" w:color="auto"/>
        <w:bottom w:val="none" w:sz="0" w:space="0" w:color="auto"/>
        <w:right w:val="none" w:sz="0" w:space="0" w:color="auto"/>
      </w:divBdr>
    </w:div>
    <w:div w:id="1857814921">
      <w:bodyDiv w:val="1"/>
      <w:marLeft w:val="0"/>
      <w:marRight w:val="0"/>
      <w:marTop w:val="0"/>
      <w:marBottom w:val="0"/>
      <w:divBdr>
        <w:top w:val="none" w:sz="0" w:space="0" w:color="auto"/>
        <w:left w:val="none" w:sz="0" w:space="0" w:color="auto"/>
        <w:bottom w:val="none" w:sz="0" w:space="0" w:color="auto"/>
        <w:right w:val="none" w:sz="0" w:space="0" w:color="auto"/>
      </w:divBdr>
    </w:div>
    <w:div w:id="1858156842">
      <w:bodyDiv w:val="1"/>
      <w:marLeft w:val="0"/>
      <w:marRight w:val="0"/>
      <w:marTop w:val="0"/>
      <w:marBottom w:val="0"/>
      <w:divBdr>
        <w:top w:val="none" w:sz="0" w:space="0" w:color="auto"/>
        <w:left w:val="none" w:sz="0" w:space="0" w:color="auto"/>
        <w:bottom w:val="none" w:sz="0" w:space="0" w:color="auto"/>
        <w:right w:val="none" w:sz="0" w:space="0" w:color="auto"/>
      </w:divBdr>
    </w:div>
    <w:div w:id="1858687354">
      <w:bodyDiv w:val="1"/>
      <w:marLeft w:val="0"/>
      <w:marRight w:val="0"/>
      <w:marTop w:val="0"/>
      <w:marBottom w:val="0"/>
      <w:divBdr>
        <w:top w:val="none" w:sz="0" w:space="0" w:color="auto"/>
        <w:left w:val="none" w:sz="0" w:space="0" w:color="auto"/>
        <w:bottom w:val="none" w:sz="0" w:space="0" w:color="auto"/>
        <w:right w:val="none" w:sz="0" w:space="0" w:color="auto"/>
      </w:divBdr>
    </w:div>
    <w:div w:id="1858932962">
      <w:bodyDiv w:val="1"/>
      <w:marLeft w:val="0"/>
      <w:marRight w:val="0"/>
      <w:marTop w:val="0"/>
      <w:marBottom w:val="0"/>
      <w:divBdr>
        <w:top w:val="none" w:sz="0" w:space="0" w:color="auto"/>
        <w:left w:val="none" w:sz="0" w:space="0" w:color="auto"/>
        <w:bottom w:val="none" w:sz="0" w:space="0" w:color="auto"/>
        <w:right w:val="none" w:sz="0" w:space="0" w:color="auto"/>
      </w:divBdr>
    </w:div>
    <w:div w:id="1860389149">
      <w:bodyDiv w:val="1"/>
      <w:marLeft w:val="0"/>
      <w:marRight w:val="0"/>
      <w:marTop w:val="0"/>
      <w:marBottom w:val="0"/>
      <w:divBdr>
        <w:top w:val="none" w:sz="0" w:space="0" w:color="auto"/>
        <w:left w:val="none" w:sz="0" w:space="0" w:color="auto"/>
        <w:bottom w:val="none" w:sz="0" w:space="0" w:color="auto"/>
        <w:right w:val="none" w:sz="0" w:space="0" w:color="auto"/>
      </w:divBdr>
    </w:div>
    <w:div w:id="1865560491">
      <w:bodyDiv w:val="1"/>
      <w:marLeft w:val="0"/>
      <w:marRight w:val="0"/>
      <w:marTop w:val="0"/>
      <w:marBottom w:val="0"/>
      <w:divBdr>
        <w:top w:val="none" w:sz="0" w:space="0" w:color="auto"/>
        <w:left w:val="none" w:sz="0" w:space="0" w:color="auto"/>
        <w:bottom w:val="none" w:sz="0" w:space="0" w:color="auto"/>
        <w:right w:val="none" w:sz="0" w:space="0" w:color="auto"/>
      </w:divBdr>
    </w:div>
    <w:div w:id="1865706505">
      <w:bodyDiv w:val="1"/>
      <w:marLeft w:val="0"/>
      <w:marRight w:val="0"/>
      <w:marTop w:val="0"/>
      <w:marBottom w:val="0"/>
      <w:divBdr>
        <w:top w:val="none" w:sz="0" w:space="0" w:color="auto"/>
        <w:left w:val="none" w:sz="0" w:space="0" w:color="auto"/>
        <w:bottom w:val="none" w:sz="0" w:space="0" w:color="auto"/>
        <w:right w:val="none" w:sz="0" w:space="0" w:color="auto"/>
      </w:divBdr>
    </w:div>
    <w:div w:id="1867210319">
      <w:bodyDiv w:val="1"/>
      <w:marLeft w:val="0"/>
      <w:marRight w:val="0"/>
      <w:marTop w:val="0"/>
      <w:marBottom w:val="0"/>
      <w:divBdr>
        <w:top w:val="none" w:sz="0" w:space="0" w:color="auto"/>
        <w:left w:val="none" w:sz="0" w:space="0" w:color="auto"/>
        <w:bottom w:val="none" w:sz="0" w:space="0" w:color="auto"/>
        <w:right w:val="none" w:sz="0" w:space="0" w:color="auto"/>
      </w:divBdr>
    </w:div>
    <w:div w:id="1878547356">
      <w:bodyDiv w:val="1"/>
      <w:marLeft w:val="0"/>
      <w:marRight w:val="0"/>
      <w:marTop w:val="0"/>
      <w:marBottom w:val="0"/>
      <w:divBdr>
        <w:top w:val="none" w:sz="0" w:space="0" w:color="auto"/>
        <w:left w:val="none" w:sz="0" w:space="0" w:color="auto"/>
        <w:bottom w:val="none" w:sz="0" w:space="0" w:color="auto"/>
        <w:right w:val="none" w:sz="0" w:space="0" w:color="auto"/>
      </w:divBdr>
    </w:div>
    <w:div w:id="1886598190">
      <w:bodyDiv w:val="1"/>
      <w:marLeft w:val="0"/>
      <w:marRight w:val="0"/>
      <w:marTop w:val="0"/>
      <w:marBottom w:val="0"/>
      <w:divBdr>
        <w:top w:val="none" w:sz="0" w:space="0" w:color="auto"/>
        <w:left w:val="none" w:sz="0" w:space="0" w:color="auto"/>
        <w:bottom w:val="none" w:sz="0" w:space="0" w:color="auto"/>
        <w:right w:val="none" w:sz="0" w:space="0" w:color="auto"/>
      </w:divBdr>
    </w:div>
    <w:div w:id="1889609337">
      <w:bodyDiv w:val="1"/>
      <w:marLeft w:val="0"/>
      <w:marRight w:val="0"/>
      <w:marTop w:val="0"/>
      <w:marBottom w:val="0"/>
      <w:divBdr>
        <w:top w:val="none" w:sz="0" w:space="0" w:color="auto"/>
        <w:left w:val="none" w:sz="0" w:space="0" w:color="auto"/>
        <w:bottom w:val="none" w:sz="0" w:space="0" w:color="auto"/>
        <w:right w:val="none" w:sz="0" w:space="0" w:color="auto"/>
      </w:divBdr>
    </w:div>
    <w:div w:id="1895458674">
      <w:bodyDiv w:val="1"/>
      <w:marLeft w:val="0"/>
      <w:marRight w:val="0"/>
      <w:marTop w:val="0"/>
      <w:marBottom w:val="0"/>
      <w:divBdr>
        <w:top w:val="none" w:sz="0" w:space="0" w:color="auto"/>
        <w:left w:val="none" w:sz="0" w:space="0" w:color="auto"/>
        <w:bottom w:val="none" w:sz="0" w:space="0" w:color="auto"/>
        <w:right w:val="none" w:sz="0" w:space="0" w:color="auto"/>
      </w:divBdr>
    </w:div>
    <w:div w:id="1895660404">
      <w:bodyDiv w:val="1"/>
      <w:marLeft w:val="0"/>
      <w:marRight w:val="0"/>
      <w:marTop w:val="0"/>
      <w:marBottom w:val="0"/>
      <w:divBdr>
        <w:top w:val="none" w:sz="0" w:space="0" w:color="auto"/>
        <w:left w:val="none" w:sz="0" w:space="0" w:color="auto"/>
        <w:bottom w:val="none" w:sz="0" w:space="0" w:color="auto"/>
        <w:right w:val="none" w:sz="0" w:space="0" w:color="auto"/>
      </w:divBdr>
    </w:div>
    <w:div w:id="190540598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7418070">
      <w:bodyDiv w:val="1"/>
      <w:marLeft w:val="0"/>
      <w:marRight w:val="0"/>
      <w:marTop w:val="0"/>
      <w:marBottom w:val="0"/>
      <w:divBdr>
        <w:top w:val="none" w:sz="0" w:space="0" w:color="auto"/>
        <w:left w:val="none" w:sz="0" w:space="0" w:color="auto"/>
        <w:bottom w:val="none" w:sz="0" w:space="0" w:color="auto"/>
        <w:right w:val="none" w:sz="0" w:space="0" w:color="auto"/>
      </w:divBdr>
    </w:div>
    <w:div w:id="1928077063">
      <w:bodyDiv w:val="1"/>
      <w:marLeft w:val="0"/>
      <w:marRight w:val="0"/>
      <w:marTop w:val="0"/>
      <w:marBottom w:val="0"/>
      <w:divBdr>
        <w:top w:val="none" w:sz="0" w:space="0" w:color="auto"/>
        <w:left w:val="none" w:sz="0" w:space="0" w:color="auto"/>
        <w:bottom w:val="none" w:sz="0" w:space="0" w:color="auto"/>
        <w:right w:val="none" w:sz="0" w:space="0" w:color="auto"/>
      </w:divBdr>
    </w:div>
    <w:div w:id="1928229012">
      <w:bodyDiv w:val="1"/>
      <w:marLeft w:val="0"/>
      <w:marRight w:val="0"/>
      <w:marTop w:val="0"/>
      <w:marBottom w:val="0"/>
      <w:divBdr>
        <w:top w:val="none" w:sz="0" w:space="0" w:color="auto"/>
        <w:left w:val="none" w:sz="0" w:space="0" w:color="auto"/>
        <w:bottom w:val="none" w:sz="0" w:space="0" w:color="auto"/>
        <w:right w:val="none" w:sz="0" w:space="0" w:color="auto"/>
      </w:divBdr>
    </w:div>
    <w:div w:id="1928418305">
      <w:bodyDiv w:val="1"/>
      <w:marLeft w:val="0"/>
      <w:marRight w:val="0"/>
      <w:marTop w:val="0"/>
      <w:marBottom w:val="0"/>
      <w:divBdr>
        <w:top w:val="none" w:sz="0" w:space="0" w:color="auto"/>
        <w:left w:val="none" w:sz="0" w:space="0" w:color="auto"/>
        <w:bottom w:val="none" w:sz="0" w:space="0" w:color="auto"/>
        <w:right w:val="none" w:sz="0" w:space="0" w:color="auto"/>
      </w:divBdr>
    </w:div>
    <w:div w:id="1938638040">
      <w:bodyDiv w:val="1"/>
      <w:marLeft w:val="0"/>
      <w:marRight w:val="0"/>
      <w:marTop w:val="0"/>
      <w:marBottom w:val="0"/>
      <w:divBdr>
        <w:top w:val="none" w:sz="0" w:space="0" w:color="auto"/>
        <w:left w:val="none" w:sz="0" w:space="0" w:color="auto"/>
        <w:bottom w:val="none" w:sz="0" w:space="0" w:color="auto"/>
        <w:right w:val="none" w:sz="0" w:space="0" w:color="auto"/>
      </w:divBdr>
    </w:div>
    <w:div w:id="1940065100">
      <w:bodyDiv w:val="1"/>
      <w:marLeft w:val="0"/>
      <w:marRight w:val="0"/>
      <w:marTop w:val="0"/>
      <w:marBottom w:val="0"/>
      <w:divBdr>
        <w:top w:val="none" w:sz="0" w:space="0" w:color="auto"/>
        <w:left w:val="none" w:sz="0" w:space="0" w:color="auto"/>
        <w:bottom w:val="none" w:sz="0" w:space="0" w:color="auto"/>
        <w:right w:val="none" w:sz="0" w:space="0" w:color="auto"/>
      </w:divBdr>
    </w:div>
    <w:div w:id="1953244222">
      <w:bodyDiv w:val="1"/>
      <w:marLeft w:val="0"/>
      <w:marRight w:val="0"/>
      <w:marTop w:val="0"/>
      <w:marBottom w:val="0"/>
      <w:divBdr>
        <w:top w:val="none" w:sz="0" w:space="0" w:color="auto"/>
        <w:left w:val="none" w:sz="0" w:space="0" w:color="auto"/>
        <w:bottom w:val="none" w:sz="0" w:space="0" w:color="auto"/>
        <w:right w:val="none" w:sz="0" w:space="0" w:color="auto"/>
      </w:divBdr>
    </w:div>
    <w:div w:id="1962422232">
      <w:bodyDiv w:val="1"/>
      <w:marLeft w:val="0"/>
      <w:marRight w:val="0"/>
      <w:marTop w:val="0"/>
      <w:marBottom w:val="0"/>
      <w:divBdr>
        <w:top w:val="none" w:sz="0" w:space="0" w:color="auto"/>
        <w:left w:val="none" w:sz="0" w:space="0" w:color="auto"/>
        <w:bottom w:val="none" w:sz="0" w:space="0" w:color="auto"/>
        <w:right w:val="none" w:sz="0" w:space="0" w:color="auto"/>
      </w:divBdr>
    </w:div>
    <w:div w:id="1966349580">
      <w:bodyDiv w:val="1"/>
      <w:marLeft w:val="0"/>
      <w:marRight w:val="0"/>
      <w:marTop w:val="0"/>
      <w:marBottom w:val="0"/>
      <w:divBdr>
        <w:top w:val="none" w:sz="0" w:space="0" w:color="auto"/>
        <w:left w:val="none" w:sz="0" w:space="0" w:color="auto"/>
        <w:bottom w:val="none" w:sz="0" w:space="0" w:color="auto"/>
        <w:right w:val="none" w:sz="0" w:space="0" w:color="auto"/>
      </w:divBdr>
    </w:div>
    <w:div w:id="1968122450">
      <w:bodyDiv w:val="1"/>
      <w:marLeft w:val="0"/>
      <w:marRight w:val="0"/>
      <w:marTop w:val="0"/>
      <w:marBottom w:val="0"/>
      <w:divBdr>
        <w:top w:val="none" w:sz="0" w:space="0" w:color="auto"/>
        <w:left w:val="none" w:sz="0" w:space="0" w:color="auto"/>
        <w:bottom w:val="none" w:sz="0" w:space="0" w:color="auto"/>
        <w:right w:val="none" w:sz="0" w:space="0" w:color="auto"/>
      </w:divBdr>
    </w:div>
    <w:div w:id="1970358017">
      <w:bodyDiv w:val="1"/>
      <w:marLeft w:val="0"/>
      <w:marRight w:val="0"/>
      <w:marTop w:val="0"/>
      <w:marBottom w:val="0"/>
      <w:divBdr>
        <w:top w:val="none" w:sz="0" w:space="0" w:color="auto"/>
        <w:left w:val="none" w:sz="0" w:space="0" w:color="auto"/>
        <w:bottom w:val="none" w:sz="0" w:space="0" w:color="auto"/>
        <w:right w:val="none" w:sz="0" w:space="0" w:color="auto"/>
      </w:divBdr>
    </w:div>
    <w:div w:id="1972050119">
      <w:bodyDiv w:val="1"/>
      <w:marLeft w:val="0"/>
      <w:marRight w:val="0"/>
      <w:marTop w:val="0"/>
      <w:marBottom w:val="0"/>
      <w:divBdr>
        <w:top w:val="none" w:sz="0" w:space="0" w:color="auto"/>
        <w:left w:val="none" w:sz="0" w:space="0" w:color="auto"/>
        <w:bottom w:val="none" w:sz="0" w:space="0" w:color="auto"/>
        <w:right w:val="none" w:sz="0" w:space="0" w:color="auto"/>
      </w:divBdr>
    </w:div>
    <w:div w:id="1992100921">
      <w:bodyDiv w:val="1"/>
      <w:marLeft w:val="0"/>
      <w:marRight w:val="0"/>
      <w:marTop w:val="0"/>
      <w:marBottom w:val="0"/>
      <w:divBdr>
        <w:top w:val="none" w:sz="0" w:space="0" w:color="auto"/>
        <w:left w:val="none" w:sz="0" w:space="0" w:color="auto"/>
        <w:bottom w:val="none" w:sz="0" w:space="0" w:color="auto"/>
        <w:right w:val="none" w:sz="0" w:space="0" w:color="auto"/>
      </w:divBdr>
    </w:div>
    <w:div w:id="1994064433">
      <w:bodyDiv w:val="1"/>
      <w:marLeft w:val="0"/>
      <w:marRight w:val="0"/>
      <w:marTop w:val="0"/>
      <w:marBottom w:val="0"/>
      <w:divBdr>
        <w:top w:val="none" w:sz="0" w:space="0" w:color="auto"/>
        <w:left w:val="none" w:sz="0" w:space="0" w:color="auto"/>
        <w:bottom w:val="none" w:sz="0" w:space="0" w:color="auto"/>
        <w:right w:val="none" w:sz="0" w:space="0" w:color="auto"/>
      </w:divBdr>
    </w:div>
    <w:div w:id="1996831810">
      <w:bodyDiv w:val="1"/>
      <w:marLeft w:val="0"/>
      <w:marRight w:val="0"/>
      <w:marTop w:val="0"/>
      <w:marBottom w:val="0"/>
      <w:divBdr>
        <w:top w:val="none" w:sz="0" w:space="0" w:color="auto"/>
        <w:left w:val="none" w:sz="0" w:space="0" w:color="auto"/>
        <w:bottom w:val="none" w:sz="0" w:space="0" w:color="auto"/>
        <w:right w:val="none" w:sz="0" w:space="0" w:color="auto"/>
      </w:divBdr>
    </w:div>
    <w:div w:id="2007198618">
      <w:bodyDiv w:val="1"/>
      <w:marLeft w:val="0"/>
      <w:marRight w:val="0"/>
      <w:marTop w:val="0"/>
      <w:marBottom w:val="0"/>
      <w:divBdr>
        <w:top w:val="none" w:sz="0" w:space="0" w:color="auto"/>
        <w:left w:val="none" w:sz="0" w:space="0" w:color="auto"/>
        <w:bottom w:val="none" w:sz="0" w:space="0" w:color="auto"/>
        <w:right w:val="none" w:sz="0" w:space="0" w:color="auto"/>
      </w:divBdr>
    </w:div>
    <w:div w:id="2012484544">
      <w:bodyDiv w:val="1"/>
      <w:marLeft w:val="0"/>
      <w:marRight w:val="0"/>
      <w:marTop w:val="0"/>
      <w:marBottom w:val="0"/>
      <w:divBdr>
        <w:top w:val="none" w:sz="0" w:space="0" w:color="auto"/>
        <w:left w:val="none" w:sz="0" w:space="0" w:color="auto"/>
        <w:bottom w:val="none" w:sz="0" w:space="0" w:color="auto"/>
        <w:right w:val="none" w:sz="0" w:space="0" w:color="auto"/>
      </w:divBdr>
    </w:div>
    <w:div w:id="2014532579">
      <w:bodyDiv w:val="1"/>
      <w:marLeft w:val="0"/>
      <w:marRight w:val="0"/>
      <w:marTop w:val="0"/>
      <w:marBottom w:val="0"/>
      <w:divBdr>
        <w:top w:val="none" w:sz="0" w:space="0" w:color="auto"/>
        <w:left w:val="none" w:sz="0" w:space="0" w:color="auto"/>
        <w:bottom w:val="none" w:sz="0" w:space="0" w:color="auto"/>
        <w:right w:val="none" w:sz="0" w:space="0" w:color="auto"/>
      </w:divBdr>
    </w:div>
    <w:div w:id="2017804813">
      <w:bodyDiv w:val="1"/>
      <w:marLeft w:val="0"/>
      <w:marRight w:val="0"/>
      <w:marTop w:val="0"/>
      <w:marBottom w:val="0"/>
      <w:divBdr>
        <w:top w:val="none" w:sz="0" w:space="0" w:color="auto"/>
        <w:left w:val="none" w:sz="0" w:space="0" w:color="auto"/>
        <w:bottom w:val="none" w:sz="0" w:space="0" w:color="auto"/>
        <w:right w:val="none" w:sz="0" w:space="0" w:color="auto"/>
      </w:divBdr>
    </w:div>
    <w:div w:id="2018999102">
      <w:bodyDiv w:val="1"/>
      <w:marLeft w:val="0"/>
      <w:marRight w:val="0"/>
      <w:marTop w:val="0"/>
      <w:marBottom w:val="0"/>
      <w:divBdr>
        <w:top w:val="none" w:sz="0" w:space="0" w:color="auto"/>
        <w:left w:val="none" w:sz="0" w:space="0" w:color="auto"/>
        <w:bottom w:val="none" w:sz="0" w:space="0" w:color="auto"/>
        <w:right w:val="none" w:sz="0" w:space="0" w:color="auto"/>
      </w:divBdr>
    </w:div>
    <w:div w:id="2023969365">
      <w:bodyDiv w:val="1"/>
      <w:marLeft w:val="0"/>
      <w:marRight w:val="0"/>
      <w:marTop w:val="0"/>
      <w:marBottom w:val="0"/>
      <w:divBdr>
        <w:top w:val="none" w:sz="0" w:space="0" w:color="auto"/>
        <w:left w:val="none" w:sz="0" w:space="0" w:color="auto"/>
        <w:bottom w:val="none" w:sz="0" w:space="0" w:color="auto"/>
        <w:right w:val="none" w:sz="0" w:space="0" w:color="auto"/>
      </w:divBdr>
    </w:div>
    <w:div w:id="2024936364">
      <w:bodyDiv w:val="1"/>
      <w:marLeft w:val="0"/>
      <w:marRight w:val="0"/>
      <w:marTop w:val="0"/>
      <w:marBottom w:val="0"/>
      <w:divBdr>
        <w:top w:val="none" w:sz="0" w:space="0" w:color="auto"/>
        <w:left w:val="none" w:sz="0" w:space="0" w:color="auto"/>
        <w:bottom w:val="none" w:sz="0" w:space="0" w:color="auto"/>
        <w:right w:val="none" w:sz="0" w:space="0" w:color="auto"/>
      </w:divBdr>
    </w:div>
    <w:div w:id="2027555345">
      <w:bodyDiv w:val="1"/>
      <w:marLeft w:val="0"/>
      <w:marRight w:val="0"/>
      <w:marTop w:val="0"/>
      <w:marBottom w:val="0"/>
      <w:divBdr>
        <w:top w:val="none" w:sz="0" w:space="0" w:color="auto"/>
        <w:left w:val="none" w:sz="0" w:space="0" w:color="auto"/>
        <w:bottom w:val="none" w:sz="0" w:space="0" w:color="auto"/>
        <w:right w:val="none" w:sz="0" w:space="0" w:color="auto"/>
      </w:divBdr>
    </w:div>
    <w:div w:id="2028480416">
      <w:bodyDiv w:val="1"/>
      <w:marLeft w:val="0"/>
      <w:marRight w:val="0"/>
      <w:marTop w:val="0"/>
      <w:marBottom w:val="0"/>
      <w:divBdr>
        <w:top w:val="none" w:sz="0" w:space="0" w:color="auto"/>
        <w:left w:val="none" w:sz="0" w:space="0" w:color="auto"/>
        <w:bottom w:val="none" w:sz="0" w:space="0" w:color="auto"/>
        <w:right w:val="none" w:sz="0" w:space="0" w:color="auto"/>
      </w:divBdr>
    </w:div>
    <w:div w:id="2028866831">
      <w:bodyDiv w:val="1"/>
      <w:marLeft w:val="0"/>
      <w:marRight w:val="0"/>
      <w:marTop w:val="0"/>
      <w:marBottom w:val="0"/>
      <w:divBdr>
        <w:top w:val="none" w:sz="0" w:space="0" w:color="auto"/>
        <w:left w:val="none" w:sz="0" w:space="0" w:color="auto"/>
        <w:bottom w:val="none" w:sz="0" w:space="0" w:color="auto"/>
        <w:right w:val="none" w:sz="0" w:space="0" w:color="auto"/>
      </w:divBdr>
    </w:div>
    <w:div w:id="2045399644">
      <w:bodyDiv w:val="1"/>
      <w:marLeft w:val="0"/>
      <w:marRight w:val="0"/>
      <w:marTop w:val="0"/>
      <w:marBottom w:val="0"/>
      <w:divBdr>
        <w:top w:val="none" w:sz="0" w:space="0" w:color="auto"/>
        <w:left w:val="none" w:sz="0" w:space="0" w:color="auto"/>
        <w:bottom w:val="none" w:sz="0" w:space="0" w:color="auto"/>
        <w:right w:val="none" w:sz="0" w:space="0" w:color="auto"/>
      </w:divBdr>
    </w:div>
    <w:div w:id="2045400153">
      <w:bodyDiv w:val="1"/>
      <w:marLeft w:val="0"/>
      <w:marRight w:val="0"/>
      <w:marTop w:val="0"/>
      <w:marBottom w:val="0"/>
      <w:divBdr>
        <w:top w:val="none" w:sz="0" w:space="0" w:color="auto"/>
        <w:left w:val="none" w:sz="0" w:space="0" w:color="auto"/>
        <w:bottom w:val="none" w:sz="0" w:space="0" w:color="auto"/>
        <w:right w:val="none" w:sz="0" w:space="0" w:color="auto"/>
      </w:divBdr>
    </w:div>
    <w:div w:id="2047871331">
      <w:bodyDiv w:val="1"/>
      <w:marLeft w:val="0"/>
      <w:marRight w:val="0"/>
      <w:marTop w:val="0"/>
      <w:marBottom w:val="0"/>
      <w:divBdr>
        <w:top w:val="none" w:sz="0" w:space="0" w:color="auto"/>
        <w:left w:val="none" w:sz="0" w:space="0" w:color="auto"/>
        <w:bottom w:val="none" w:sz="0" w:space="0" w:color="auto"/>
        <w:right w:val="none" w:sz="0" w:space="0" w:color="auto"/>
      </w:divBdr>
    </w:div>
    <w:div w:id="2050260245">
      <w:bodyDiv w:val="1"/>
      <w:marLeft w:val="0"/>
      <w:marRight w:val="0"/>
      <w:marTop w:val="0"/>
      <w:marBottom w:val="0"/>
      <w:divBdr>
        <w:top w:val="none" w:sz="0" w:space="0" w:color="auto"/>
        <w:left w:val="none" w:sz="0" w:space="0" w:color="auto"/>
        <w:bottom w:val="none" w:sz="0" w:space="0" w:color="auto"/>
        <w:right w:val="none" w:sz="0" w:space="0" w:color="auto"/>
      </w:divBdr>
    </w:div>
    <w:div w:id="2054452544">
      <w:bodyDiv w:val="1"/>
      <w:marLeft w:val="0"/>
      <w:marRight w:val="0"/>
      <w:marTop w:val="0"/>
      <w:marBottom w:val="0"/>
      <w:divBdr>
        <w:top w:val="none" w:sz="0" w:space="0" w:color="auto"/>
        <w:left w:val="none" w:sz="0" w:space="0" w:color="auto"/>
        <w:bottom w:val="none" w:sz="0" w:space="0" w:color="auto"/>
        <w:right w:val="none" w:sz="0" w:space="0" w:color="auto"/>
      </w:divBdr>
    </w:div>
    <w:div w:id="2055155834">
      <w:bodyDiv w:val="1"/>
      <w:marLeft w:val="0"/>
      <w:marRight w:val="0"/>
      <w:marTop w:val="0"/>
      <w:marBottom w:val="0"/>
      <w:divBdr>
        <w:top w:val="none" w:sz="0" w:space="0" w:color="auto"/>
        <w:left w:val="none" w:sz="0" w:space="0" w:color="auto"/>
        <w:bottom w:val="none" w:sz="0" w:space="0" w:color="auto"/>
        <w:right w:val="none" w:sz="0" w:space="0" w:color="auto"/>
      </w:divBdr>
    </w:div>
    <w:div w:id="2055765370">
      <w:bodyDiv w:val="1"/>
      <w:marLeft w:val="0"/>
      <w:marRight w:val="0"/>
      <w:marTop w:val="0"/>
      <w:marBottom w:val="0"/>
      <w:divBdr>
        <w:top w:val="none" w:sz="0" w:space="0" w:color="auto"/>
        <w:left w:val="none" w:sz="0" w:space="0" w:color="auto"/>
        <w:bottom w:val="none" w:sz="0" w:space="0" w:color="auto"/>
        <w:right w:val="none" w:sz="0" w:space="0" w:color="auto"/>
      </w:divBdr>
    </w:div>
    <w:div w:id="2056925495">
      <w:bodyDiv w:val="1"/>
      <w:marLeft w:val="0"/>
      <w:marRight w:val="0"/>
      <w:marTop w:val="0"/>
      <w:marBottom w:val="0"/>
      <w:divBdr>
        <w:top w:val="none" w:sz="0" w:space="0" w:color="auto"/>
        <w:left w:val="none" w:sz="0" w:space="0" w:color="auto"/>
        <w:bottom w:val="none" w:sz="0" w:space="0" w:color="auto"/>
        <w:right w:val="none" w:sz="0" w:space="0" w:color="auto"/>
      </w:divBdr>
    </w:div>
    <w:div w:id="2065719053">
      <w:bodyDiv w:val="1"/>
      <w:marLeft w:val="0"/>
      <w:marRight w:val="0"/>
      <w:marTop w:val="0"/>
      <w:marBottom w:val="0"/>
      <w:divBdr>
        <w:top w:val="none" w:sz="0" w:space="0" w:color="auto"/>
        <w:left w:val="none" w:sz="0" w:space="0" w:color="auto"/>
        <w:bottom w:val="none" w:sz="0" w:space="0" w:color="auto"/>
        <w:right w:val="none" w:sz="0" w:space="0" w:color="auto"/>
      </w:divBdr>
    </w:div>
    <w:div w:id="2071033335">
      <w:bodyDiv w:val="1"/>
      <w:marLeft w:val="0"/>
      <w:marRight w:val="0"/>
      <w:marTop w:val="0"/>
      <w:marBottom w:val="0"/>
      <w:divBdr>
        <w:top w:val="none" w:sz="0" w:space="0" w:color="auto"/>
        <w:left w:val="none" w:sz="0" w:space="0" w:color="auto"/>
        <w:bottom w:val="none" w:sz="0" w:space="0" w:color="auto"/>
        <w:right w:val="none" w:sz="0" w:space="0" w:color="auto"/>
      </w:divBdr>
    </w:div>
    <w:div w:id="2079479977">
      <w:bodyDiv w:val="1"/>
      <w:marLeft w:val="0"/>
      <w:marRight w:val="0"/>
      <w:marTop w:val="0"/>
      <w:marBottom w:val="0"/>
      <w:divBdr>
        <w:top w:val="none" w:sz="0" w:space="0" w:color="auto"/>
        <w:left w:val="none" w:sz="0" w:space="0" w:color="auto"/>
        <w:bottom w:val="none" w:sz="0" w:space="0" w:color="auto"/>
        <w:right w:val="none" w:sz="0" w:space="0" w:color="auto"/>
      </w:divBdr>
    </w:div>
    <w:div w:id="2082940107">
      <w:bodyDiv w:val="1"/>
      <w:marLeft w:val="0"/>
      <w:marRight w:val="0"/>
      <w:marTop w:val="0"/>
      <w:marBottom w:val="0"/>
      <w:divBdr>
        <w:top w:val="none" w:sz="0" w:space="0" w:color="auto"/>
        <w:left w:val="none" w:sz="0" w:space="0" w:color="auto"/>
        <w:bottom w:val="none" w:sz="0" w:space="0" w:color="auto"/>
        <w:right w:val="none" w:sz="0" w:space="0" w:color="auto"/>
      </w:divBdr>
    </w:div>
    <w:div w:id="2090537888">
      <w:bodyDiv w:val="1"/>
      <w:marLeft w:val="0"/>
      <w:marRight w:val="0"/>
      <w:marTop w:val="0"/>
      <w:marBottom w:val="0"/>
      <w:divBdr>
        <w:top w:val="none" w:sz="0" w:space="0" w:color="auto"/>
        <w:left w:val="none" w:sz="0" w:space="0" w:color="auto"/>
        <w:bottom w:val="none" w:sz="0" w:space="0" w:color="auto"/>
        <w:right w:val="none" w:sz="0" w:space="0" w:color="auto"/>
      </w:divBdr>
    </w:div>
    <w:div w:id="2090927604">
      <w:bodyDiv w:val="1"/>
      <w:marLeft w:val="0"/>
      <w:marRight w:val="0"/>
      <w:marTop w:val="0"/>
      <w:marBottom w:val="0"/>
      <w:divBdr>
        <w:top w:val="none" w:sz="0" w:space="0" w:color="auto"/>
        <w:left w:val="none" w:sz="0" w:space="0" w:color="auto"/>
        <w:bottom w:val="none" w:sz="0" w:space="0" w:color="auto"/>
        <w:right w:val="none" w:sz="0" w:space="0" w:color="auto"/>
      </w:divBdr>
    </w:div>
    <w:div w:id="2101290663">
      <w:bodyDiv w:val="1"/>
      <w:marLeft w:val="0"/>
      <w:marRight w:val="0"/>
      <w:marTop w:val="0"/>
      <w:marBottom w:val="0"/>
      <w:divBdr>
        <w:top w:val="none" w:sz="0" w:space="0" w:color="auto"/>
        <w:left w:val="none" w:sz="0" w:space="0" w:color="auto"/>
        <w:bottom w:val="none" w:sz="0" w:space="0" w:color="auto"/>
        <w:right w:val="none" w:sz="0" w:space="0" w:color="auto"/>
      </w:divBdr>
    </w:div>
    <w:div w:id="2102145662">
      <w:bodyDiv w:val="1"/>
      <w:marLeft w:val="0"/>
      <w:marRight w:val="0"/>
      <w:marTop w:val="0"/>
      <w:marBottom w:val="0"/>
      <w:divBdr>
        <w:top w:val="none" w:sz="0" w:space="0" w:color="auto"/>
        <w:left w:val="none" w:sz="0" w:space="0" w:color="auto"/>
        <w:bottom w:val="none" w:sz="0" w:space="0" w:color="auto"/>
        <w:right w:val="none" w:sz="0" w:space="0" w:color="auto"/>
      </w:divBdr>
    </w:div>
    <w:div w:id="2103187412">
      <w:bodyDiv w:val="1"/>
      <w:marLeft w:val="0"/>
      <w:marRight w:val="0"/>
      <w:marTop w:val="0"/>
      <w:marBottom w:val="0"/>
      <w:divBdr>
        <w:top w:val="none" w:sz="0" w:space="0" w:color="auto"/>
        <w:left w:val="none" w:sz="0" w:space="0" w:color="auto"/>
        <w:bottom w:val="none" w:sz="0" w:space="0" w:color="auto"/>
        <w:right w:val="none" w:sz="0" w:space="0" w:color="auto"/>
      </w:divBdr>
    </w:div>
    <w:div w:id="2113432588">
      <w:bodyDiv w:val="1"/>
      <w:marLeft w:val="0"/>
      <w:marRight w:val="0"/>
      <w:marTop w:val="0"/>
      <w:marBottom w:val="0"/>
      <w:divBdr>
        <w:top w:val="none" w:sz="0" w:space="0" w:color="auto"/>
        <w:left w:val="none" w:sz="0" w:space="0" w:color="auto"/>
        <w:bottom w:val="none" w:sz="0" w:space="0" w:color="auto"/>
        <w:right w:val="none" w:sz="0" w:space="0" w:color="auto"/>
      </w:divBdr>
    </w:div>
    <w:div w:id="2114326354">
      <w:bodyDiv w:val="1"/>
      <w:marLeft w:val="0"/>
      <w:marRight w:val="0"/>
      <w:marTop w:val="0"/>
      <w:marBottom w:val="0"/>
      <w:divBdr>
        <w:top w:val="none" w:sz="0" w:space="0" w:color="auto"/>
        <w:left w:val="none" w:sz="0" w:space="0" w:color="auto"/>
        <w:bottom w:val="none" w:sz="0" w:space="0" w:color="auto"/>
        <w:right w:val="none" w:sz="0" w:space="0" w:color="auto"/>
      </w:divBdr>
    </w:div>
    <w:div w:id="2121677260">
      <w:bodyDiv w:val="1"/>
      <w:marLeft w:val="0"/>
      <w:marRight w:val="0"/>
      <w:marTop w:val="0"/>
      <w:marBottom w:val="0"/>
      <w:divBdr>
        <w:top w:val="none" w:sz="0" w:space="0" w:color="auto"/>
        <w:left w:val="none" w:sz="0" w:space="0" w:color="auto"/>
        <w:bottom w:val="none" w:sz="0" w:space="0" w:color="auto"/>
        <w:right w:val="none" w:sz="0" w:space="0" w:color="auto"/>
      </w:divBdr>
    </w:div>
    <w:div w:id="2129199152">
      <w:bodyDiv w:val="1"/>
      <w:marLeft w:val="0"/>
      <w:marRight w:val="0"/>
      <w:marTop w:val="0"/>
      <w:marBottom w:val="0"/>
      <w:divBdr>
        <w:top w:val="none" w:sz="0" w:space="0" w:color="auto"/>
        <w:left w:val="none" w:sz="0" w:space="0" w:color="auto"/>
        <w:bottom w:val="none" w:sz="0" w:space="0" w:color="auto"/>
        <w:right w:val="none" w:sz="0" w:space="0" w:color="auto"/>
      </w:divBdr>
    </w:div>
    <w:div w:id="2132821518">
      <w:bodyDiv w:val="1"/>
      <w:marLeft w:val="0"/>
      <w:marRight w:val="0"/>
      <w:marTop w:val="0"/>
      <w:marBottom w:val="0"/>
      <w:divBdr>
        <w:top w:val="none" w:sz="0" w:space="0" w:color="auto"/>
        <w:left w:val="none" w:sz="0" w:space="0" w:color="auto"/>
        <w:bottom w:val="none" w:sz="0" w:space="0" w:color="auto"/>
        <w:right w:val="none" w:sz="0" w:space="0" w:color="auto"/>
      </w:divBdr>
    </w:div>
    <w:div w:id="2135707736">
      <w:bodyDiv w:val="1"/>
      <w:marLeft w:val="0"/>
      <w:marRight w:val="0"/>
      <w:marTop w:val="0"/>
      <w:marBottom w:val="0"/>
      <w:divBdr>
        <w:top w:val="none" w:sz="0" w:space="0" w:color="auto"/>
        <w:left w:val="none" w:sz="0" w:space="0" w:color="auto"/>
        <w:bottom w:val="none" w:sz="0" w:space="0" w:color="auto"/>
        <w:right w:val="none" w:sz="0" w:space="0" w:color="auto"/>
      </w:divBdr>
    </w:div>
    <w:div w:id="2144958576">
      <w:bodyDiv w:val="1"/>
      <w:marLeft w:val="0"/>
      <w:marRight w:val="0"/>
      <w:marTop w:val="0"/>
      <w:marBottom w:val="0"/>
      <w:divBdr>
        <w:top w:val="none" w:sz="0" w:space="0" w:color="auto"/>
        <w:left w:val="none" w:sz="0" w:space="0" w:color="auto"/>
        <w:bottom w:val="none" w:sz="0" w:space="0" w:color="auto"/>
        <w:right w:val="none" w:sz="0" w:space="0" w:color="auto"/>
      </w:divBdr>
    </w:div>
    <w:div w:id="214704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header" Target="header3.xml"/><Relationship Id="rId39" Type="http://schemas.openxmlformats.org/officeDocument/2006/relationships/header" Target="header5.xml"/><Relationship Id="rId21" Type="http://schemas.openxmlformats.org/officeDocument/2006/relationships/oleObject" Target="embeddings/oleObject7.bin"/><Relationship Id="rId34" Type="http://schemas.openxmlformats.org/officeDocument/2006/relationships/image" Target="media/image10.wmf"/><Relationship Id="rId42" Type="http://schemas.openxmlformats.org/officeDocument/2006/relationships/header" Target="head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footer" Target="footer4.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0.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image" Target="media/image8.wmf"/><Relationship Id="rId35" Type="http://schemas.openxmlformats.org/officeDocument/2006/relationships/oleObject" Target="embeddings/oleObject12.bin"/><Relationship Id="rId43" Type="http://schemas.openxmlformats.org/officeDocument/2006/relationships/footer" Target="footer6.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2.xml"/><Relationship Id="rId33" Type="http://schemas.openxmlformats.org/officeDocument/2006/relationships/oleObject" Target="embeddings/oleObject11.bin"/><Relationship Id="rId38" Type="http://schemas.openxmlformats.org/officeDocument/2006/relationships/header" Target="header4.xml"/><Relationship Id="rId20" Type="http://schemas.openxmlformats.org/officeDocument/2006/relationships/image" Target="media/image7.wmf"/><Relationship Id="rId41"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D57CF-9BF1-49F6-87D2-2EC64B411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4832</Words>
  <Characters>27548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MICS6 Survey Findings Report</vt:lpstr>
    </vt:vector>
  </TitlesOfParts>
  <Manager/>
  <Company/>
  <LinksUpToDate>false</LinksUpToDate>
  <CharactersWithSpaces>32316</CharactersWithSpaces>
  <SharedDoc>false</SharedDoc>
  <HLinks>
    <vt:vector size="2940" baseType="variant">
      <vt:variant>
        <vt:i4>6029335</vt:i4>
      </vt:variant>
      <vt:variant>
        <vt:i4>2811</vt:i4>
      </vt:variant>
      <vt:variant>
        <vt:i4>0</vt:i4>
      </vt:variant>
      <vt:variant>
        <vt:i4>5</vt:i4>
      </vt:variant>
      <vt:variant>
        <vt:lpwstr>https://en.wikipedia.org/wiki/Pneumococcal_conjugate_vaccine</vt:lpwstr>
      </vt:variant>
      <vt:variant>
        <vt:lpwstr/>
      </vt:variant>
      <vt:variant>
        <vt:i4>6029335</vt:i4>
      </vt:variant>
      <vt:variant>
        <vt:i4>2808</vt:i4>
      </vt:variant>
      <vt:variant>
        <vt:i4>0</vt:i4>
      </vt:variant>
      <vt:variant>
        <vt:i4>5</vt:i4>
      </vt:variant>
      <vt:variant>
        <vt:lpwstr>https://en.wikipedia.org/wiki/Pneumococcal_conjugate_vaccine</vt:lpwstr>
      </vt:variant>
      <vt:variant>
        <vt:lpwstr/>
      </vt:variant>
      <vt:variant>
        <vt:i4>6029335</vt:i4>
      </vt:variant>
      <vt:variant>
        <vt:i4>2805</vt:i4>
      </vt:variant>
      <vt:variant>
        <vt:i4>0</vt:i4>
      </vt:variant>
      <vt:variant>
        <vt:i4>5</vt:i4>
      </vt:variant>
      <vt:variant>
        <vt:lpwstr>https://en.wikipedia.org/wiki/Pneumococcal_conjugate_vaccine</vt:lpwstr>
      </vt:variant>
      <vt:variant>
        <vt:lpwstr/>
      </vt:variant>
      <vt:variant>
        <vt:i4>6029335</vt:i4>
      </vt:variant>
      <vt:variant>
        <vt:i4>2802</vt:i4>
      </vt:variant>
      <vt:variant>
        <vt:i4>0</vt:i4>
      </vt:variant>
      <vt:variant>
        <vt:i4>5</vt:i4>
      </vt:variant>
      <vt:variant>
        <vt:lpwstr>https://en.wikipedia.org/wiki/Pneumococcal_conjugate_vaccine</vt:lpwstr>
      </vt:variant>
      <vt:variant>
        <vt:lpwstr/>
      </vt:variant>
      <vt:variant>
        <vt:i4>6029335</vt:i4>
      </vt:variant>
      <vt:variant>
        <vt:i4>2799</vt:i4>
      </vt:variant>
      <vt:variant>
        <vt:i4>0</vt:i4>
      </vt:variant>
      <vt:variant>
        <vt:i4>5</vt:i4>
      </vt:variant>
      <vt:variant>
        <vt:lpwstr>https://en.wikipedia.org/wiki/Pneumococcal_conjugate_vaccine</vt:lpwstr>
      </vt:variant>
      <vt:variant>
        <vt:lpwstr/>
      </vt:variant>
      <vt:variant>
        <vt:i4>6029335</vt:i4>
      </vt:variant>
      <vt:variant>
        <vt:i4>2796</vt:i4>
      </vt:variant>
      <vt:variant>
        <vt:i4>0</vt:i4>
      </vt:variant>
      <vt:variant>
        <vt:i4>5</vt:i4>
      </vt:variant>
      <vt:variant>
        <vt:lpwstr>https://en.wikipedia.org/wiki/Pneumococcal_conjugate_vaccine</vt:lpwstr>
      </vt:variant>
      <vt:variant>
        <vt:lpwstr/>
      </vt:variant>
      <vt:variant>
        <vt:i4>6029335</vt:i4>
      </vt:variant>
      <vt:variant>
        <vt:i4>2793</vt:i4>
      </vt:variant>
      <vt:variant>
        <vt:i4>0</vt:i4>
      </vt:variant>
      <vt:variant>
        <vt:i4>5</vt:i4>
      </vt:variant>
      <vt:variant>
        <vt:lpwstr>https://en.wikipedia.org/wiki/Pneumococcal_conjugate_vaccine</vt:lpwstr>
      </vt:variant>
      <vt:variant>
        <vt:lpwstr/>
      </vt:variant>
      <vt:variant>
        <vt:i4>6029335</vt:i4>
      </vt:variant>
      <vt:variant>
        <vt:i4>2790</vt:i4>
      </vt:variant>
      <vt:variant>
        <vt:i4>0</vt:i4>
      </vt:variant>
      <vt:variant>
        <vt:i4>5</vt:i4>
      </vt:variant>
      <vt:variant>
        <vt:lpwstr>https://en.wikipedia.org/wiki/Pneumococcal_conjugate_vaccine</vt:lpwstr>
      </vt:variant>
      <vt:variant>
        <vt:lpwstr/>
      </vt:variant>
      <vt:variant>
        <vt:i4>3014700</vt:i4>
      </vt:variant>
      <vt:variant>
        <vt:i4>2649</vt:i4>
      </vt:variant>
      <vt:variant>
        <vt:i4>0</vt:i4>
      </vt:variant>
      <vt:variant>
        <vt:i4>5</vt:i4>
      </vt:variant>
      <vt:variant>
        <vt:lpwstr>https://www.un.org/ecosoc/sites/www.un.org.ecosoc/files/files/en/qcpr/doco-summary-brief-on-maps-march2016.pdf</vt:lpwstr>
      </vt:variant>
      <vt:variant>
        <vt:lpwstr/>
      </vt:variant>
      <vt:variant>
        <vt:i4>1900596</vt:i4>
      </vt:variant>
      <vt:variant>
        <vt:i4>2642</vt:i4>
      </vt:variant>
      <vt:variant>
        <vt:i4>0</vt:i4>
      </vt:variant>
      <vt:variant>
        <vt:i4>5</vt:i4>
      </vt:variant>
      <vt:variant>
        <vt:lpwstr/>
      </vt:variant>
      <vt:variant>
        <vt:lpwstr>_Toc51860598</vt:lpwstr>
      </vt:variant>
      <vt:variant>
        <vt:i4>1179700</vt:i4>
      </vt:variant>
      <vt:variant>
        <vt:i4>2636</vt:i4>
      </vt:variant>
      <vt:variant>
        <vt:i4>0</vt:i4>
      </vt:variant>
      <vt:variant>
        <vt:i4>5</vt:i4>
      </vt:variant>
      <vt:variant>
        <vt:lpwstr/>
      </vt:variant>
      <vt:variant>
        <vt:lpwstr>_Toc51860597</vt:lpwstr>
      </vt:variant>
      <vt:variant>
        <vt:i4>1245236</vt:i4>
      </vt:variant>
      <vt:variant>
        <vt:i4>2630</vt:i4>
      </vt:variant>
      <vt:variant>
        <vt:i4>0</vt:i4>
      </vt:variant>
      <vt:variant>
        <vt:i4>5</vt:i4>
      </vt:variant>
      <vt:variant>
        <vt:lpwstr/>
      </vt:variant>
      <vt:variant>
        <vt:lpwstr>_Toc51860596</vt:lpwstr>
      </vt:variant>
      <vt:variant>
        <vt:i4>1048628</vt:i4>
      </vt:variant>
      <vt:variant>
        <vt:i4>2624</vt:i4>
      </vt:variant>
      <vt:variant>
        <vt:i4>0</vt:i4>
      </vt:variant>
      <vt:variant>
        <vt:i4>5</vt:i4>
      </vt:variant>
      <vt:variant>
        <vt:lpwstr/>
      </vt:variant>
      <vt:variant>
        <vt:lpwstr>_Toc51860595</vt:lpwstr>
      </vt:variant>
      <vt:variant>
        <vt:i4>1114164</vt:i4>
      </vt:variant>
      <vt:variant>
        <vt:i4>2618</vt:i4>
      </vt:variant>
      <vt:variant>
        <vt:i4>0</vt:i4>
      </vt:variant>
      <vt:variant>
        <vt:i4>5</vt:i4>
      </vt:variant>
      <vt:variant>
        <vt:lpwstr/>
      </vt:variant>
      <vt:variant>
        <vt:lpwstr>_Toc51860594</vt:lpwstr>
      </vt:variant>
      <vt:variant>
        <vt:i4>1441844</vt:i4>
      </vt:variant>
      <vt:variant>
        <vt:i4>2612</vt:i4>
      </vt:variant>
      <vt:variant>
        <vt:i4>0</vt:i4>
      </vt:variant>
      <vt:variant>
        <vt:i4>5</vt:i4>
      </vt:variant>
      <vt:variant>
        <vt:lpwstr/>
      </vt:variant>
      <vt:variant>
        <vt:lpwstr>_Toc51860593</vt:lpwstr>
      </vt:variant>
      <vt:variant>
        <vt:i4>1507380</vt:i4>
      </vt:variant>
      <vt:variant>
        <vt:i4>2606</vt:i4>
      </vt:variant>
      <vt:variant>
        <vt:i4>0</vt:i4>
      </vt:variant>
      <vt:variant>
        <vt:i4>5</vt:i4>
      </vt:variant>
      <vt:variant>
        <vt:lpwstr/>
      </vt:variant>
      <vt:variant>
        <vt:lpwstr>_Toc51860592</vt:lpwstr>
      </vt:variant>
      <vt:variant>
        <vt:i4>1310772</vt:i4>
      </vt:variant>
      <vt:variant>
        <vt:i4>2600</vt:i4>
      </vt:variant>
      <vt:variant>
        <vt:i4>0</vt:i4>
      </vt:variant>
      <vt:variant>
        <vt:i4>5</vt:i4>
      </vt:variant>
      <vt:variant>
        <vt:lpwstr/>
      </vt:variant>
      <vt:variant>
        <vt:lpwstr>_Toc51860591</vt:lpwstr>
      </vt:variant>
      <vt:variant>
        <vt:i4>1376308</vt:i4>
      </vt:variant>
      <vt:variant>
        <vt:i4>2594</vt:i4>
      </vt:variant>
      <vt:variant>
        <vt:i4>0</vt:i4>
      </vt:variant>
      <vt:variant>
        <vt:i4>5</vt:i4>
      </vt:variant>
      <vt:variant>
        <vt:lpwstr/>
      </vt:variant>
      <vt:variant>
        <vt:lpwstr>_Toc51860590</vt:lpwstr>
      </vt:variant>
      <vt:variant>
        <vt:i4>1835061</vt:i4>
      </vt:variant>
      <vt:variant>
        <vt:i4>2588</vt:i4>
      </vt:variant>
      <vt:variant>
        <vt:i4>0</vt:i4>
      </vt:variant>
      <vt:variant>
        <vt:i4>5</vt:i4>
      </vt:variant>
      <vt:variant>
        <vt:lpwstr/>
      </vt:variant>
      <vt:variant>
        <vt:lpwstr>_Toc51860589</vt:lpwstr>
      </vt:variant>
      <vt:variant>
        <vt:i4>1900597</vt:i4>
      </vt:variant>
      <vt:variant>
        <vt:i4>2582</vt:i4>
      </vt:variant>
      <vt:variant>
        <vt:i4>0</vt:i4>
      </vt:variant>
      <vt:variant>
        <vt:i4>5</vt:i4>
      </vt:variant>
      <vt:variant>
        <vt:lpwstr/>
      </vt:variant>
      <vt:variant>
        <vt:lpwstr>_Toc51860588</vt:lpwstr>
      </vt:variant>
      <vt:variant>
        <vt:i4>1179701</vt:i4>
      </vt:variant>
      <vt:variant>
        <vt:i4>2576</vt:i4>
      </vt:variant>
      <vt:variant>
        <vt:i4>0</vt:i4>
      </vt:variant>
      <vt:variant>
        <vt:i4>5</vt:i4>
      </vt:variant>
      <vt:variant>
        <vt:lpwstr/>
      </vt:variant>
      <vt:variant>
        <vt:lpwstr>_Toc51860587</vt:lpwstr>
      </vt:variant>
      <vt:variant>
        <vt:i4>1245237</vt:i4>
      </vt:variant>
      <vt:variant>
        <vt:i4>2570</vt:i4>
      </vt:variant>
      <vt:variant>
        <vt:i4>0</vt:i4>
      </vt:variant>
      <vt:variant>
        <vt:i4>5</vt:i4>
      </vt:variant>
      <vt:variant>
        <vt:lpwstr/>
      </vt:variant>
      <vt:variant>
        <vt:lpwstr>_Toc51860586</vt:lpwstr>
      </vt:variant>
      <vt:variant>
        <vt:i4>1048629</vt:i4>
      </vt:variant>
      <vt:variant>
        <vt:i4>2564</vt:i4>
      </vt:variant>
      <vt:variant>
        <vt:i4>0</vt:i4>
      </vt:variant>
      <vt:variant>
        <vt:i4>5</vt:i4>
      </vt:variant>
      <vt:variant>
        <vt:lpwstr/>
      </vt:variant>
      <vt:variant>
        <vt:lpwstr>_Toc51860585</vt:lpwstr>
      </vt:variant>
      <vt:variant>
        <vt:i4>1114165</vt:i4>
      </vt:variant>
      <vt:variant>
        <vt:i4>2558</vt:i4>
      </vt:variant>
      <vt:variant>
        <vt:i4>0</vt:i4>
      </vt:variant>
      <vt:variant>
        <vt:i4>5</vt:i4>
      </vt:variant>
      <vt:variant>
        <vt:lpwstr/>
      </vt:variant>
      <vt:variant>
        <vt:lpwstr>_Toc51860584</vt:lpwstr>
      </vt:variant>
      <vt:variant>
        <vt:i4>1441845</vt:i4>
      </vt:variant>
      <vt:variant>
        <vt:i4>2552</vt:i4>
      </vt:variant>
      <vt:variant>
        <vt:i4>0</vt:i4>
      </vt:variant>
      <vt:variant>
        <vt:i4>5</vt:i4>
      </vt:variant>
      <vt:variant>
        <vt:lpwstr/>
      </vt:variant>
      <vt:variant>
        <vt:lpwstr>_Toc51860583</vt:lpwstr>
      </vt:variant>
      <vt:variant>
        <vt:i4>1507381</vt:i4>
      </vt:variant>
      <vt:variant>
        <vt:i4>2546</vt:i4>
      </vt:variant>
      <vt:variant>
        <vt:i4>0</vt:i4>
      </vt:variant>
      <vt:variant>
        <vt:i4>5</vt:i4>
      </vt:variant>
      <vt:variant>
        <vt:lpwstr/>
      </vt:variant>
      <vt:variant>
        <vt:lpwstr>_Toc51860582</vt:lpwstr>
      </vt:variant>
      <vt:variant>
        <vt:i4>1310773</vt:i4>
      </vt:variant>
      <vt:variant>
        <vt:i4>2540</vt:i4>
      </vt:variant>
      <vt:variant>
        <vt:i4>0</vt:i4>
      </vt:variant>
      <vt:variant>
        <vt:i4>5</vt:i4>
      </vt:variant>
      <vt:variant>
        <vt:lpwstr/>
      </vt:variant>
      <vt:variant>
        <vt:lpwstr>_Toc51860581</vt:lpwstr>
      </vt:variant>
      <vt:variant>
        <vt:i4>1376309</vt:i4>
      </vt:variant>
      <vt:variant>
        <vt:i4>2534</vt:i4>
      </vt:variant>
      <vt:variant>
        <vt:i4>0</vt:i4>
      </vt:variant>
      <vt:variant>
        <vt:i4>5</vt:i4>
      </vt:variant>
      <vt:variant>
        <vt:lpwstr/>
      </vt:variant>
      <vt:variant>
        <vt:lpwstr>_Toc51860580</vt:lpwstr>
      </vt:variant>
      <vt:variant>
        <vt:i4>1835066</vt:i4>
      </vt:variant>
      <vt:variant>
        <vt:i4>2528</vt:i4>
      </vt:variant>
      <vt:variant>
        <vt:i4>0</vt:i4>
      </vt:variant>
      <vt:variant>
        <vt:i4>5</vt:i4>
      </vt:variant>
      <vt:variant>
        <vt:lpwstr/>
      </vt:variant>
      <vt:variant>
        <vt:lpwstr>_Toc51860579</vt:lpwstr>
      </vt:variant>
      <vt:variant>
        <vt:i4>1900602</vt:i4>
      </vt:variant>
      <vt:variant>
        <vt:i4>2522</vt:i4>
      </vt:variant>
      <vt:variant>
        <vt:i4>0</vt:i4>
      </vt:variant>
      <vt:variant>
        <vt:i4>5</vt:i4>
      </vt:variant>
      <vt:variant>
        <vt:lpwstr/>
      </vt:variant>
      <vt:variant>
        <vt:lpwstr>_Toc51860578</vt:lpwstr>
      </vt:variant>
      <vt:variant>
        <vt:i4>1179706</vt:i4>
      </vt:variant>
      <vt:variant>
        <vt:i4>2516</vt:i4>
      </vt:variant>
      <vt:variant>
        <vt:i4>0</vt:i4>
      </vt:variant>
      <vt:variant>
        <vt:i4>5</vt:i4>
      </vt:variant>
      <vt:variant>
        <vt:lpwstr/>
      </vt:variant>
      <vt:variant>
        <vt:lpwstr>_Toc51860577</vt:lpwstr>
      </vt:variant>
      <vt:variant>
        <vt:i4>1245242</vt:i4>
      </vt:variant>
      <vt:variant>
        <vt:i4>2510</vt:i4>
      </vt:variant>
      <vt:variant>
        <vt:i4>0</vt:i4>
      </vt:variant>
      <vt:variant>
        <vt:i4>5</vt:i4>
      </vt:variant>
      <vt:variant>
        <vt:lpwstr/>
      </vt:variant>
      <vt:variant>
        <vt:lpwstr>_Toc51860576</vt:lpwstr>
      </vt:variant>
      <vt:variant>
        <vt:i4>1048634</vt:i4>
      </vt:variant>
      <vt:variant>
        <vt:i4>2504</vt:i4>
      </vt:variant>
      <vt:variant>
        <vt:i4>0</vt:i4>
      </vt:variant>
      <vt:variant>
        <vt:i4>5</vt:i4>
      </vt:variant>
      <vt:variant>
        <vt:lpwstr/>
      </vt:variant>
      <vt:variant>
        <vt:lpwstr>_Toc51860575</vt:lpwstr>
      </vt:variant>
      <vt:variant>
        <vt:i4>1114170</vt:i4>
      </vt:variant>
      <vt:variant>
        <vt:i4>2498</vt:i4>
      </vt:variant>
      <vt:variant>
        <vt:i4>0</vt:i4>
      </vt:variant>
      <vt:variant>
        <vt:i4>5</vt:i4>
      </vt:variant>
      <vt:variant>
        <vt:lpwstr/>
      </vt:variant>
      <vt:variant>
        <vt:lpwstr>_Toc51860574</vt:lpwstr>
      </vt:variant>
      <vt:variant>
        <vt:i4>1441850</vt:i4>
      </vt:variant>
      <vt:variant>
        <vt:i4>2492</vt:i4>
      </vt:variant>
      <vt:variant>
        <vt:i4>0</vt:i4>
      </vt:variant>
      <vt:variant>
        <vt:i4>5</vt:i4>
      </vt:variant>
      <vt:variant>
        <vt:lpwstr/>
      </vt:variant>
      <vt:variant>
        <vt:lpwstr>_Toc51860573</vt:lpwstr>
      </vt:variant>
      <vt:variant>
        <vt:i4>1507386</vt:i4>
      </vt:variant>
      <vt:variant>
        <vt:i4>2486</vt:i4>
      </vt:variant>
      <vt:variant>
        <vt:i4>0</vt:i4>
      </vt:variant>
      <vt:variant>
        <vt:i4>5</vt:i4>
      </vt:variant>
      <vt:variant>
        <vt:lpwstr/>
      </vt:variant>
      <vt:variant>
        <vt:lpwstr>_Toc51860572</vt:lpwstr>
      </vt:variant>
      <vt:variant>
        <vt:i4>1310778</vt:i4>
      </vt:variant>
      <vt:variant>
        <vt:i4>2480</vt:i4>
      </vt:variant>
      <vt:variant>
        <vt:i4>0</vt:i4>
      </vt:variant>
      <vt:variant>
        <vt:i4>5</vt:i4>
      </vt:variant>
      <vt:variant>
        <vt:lpwstr/>
      </vt:variant>
      <vt:variant>
        <vt:lpwstr>_Toc51860571</vt:lpwstr>
      </vt:variant>
      <vt:variant>
        <vt:i4>1376314</vt:i4>
      </vt:variant>
      <vt:variant>
        <vt:i4>2474</vt:i4>
      </vt:variant>
      <vt:variant>
        <vt:i4>0</vt:i4>
      </vt:variant>
      <vt:variant>
        <vt:i4>5</vt:i4>
      </vt:variant>
      <vt:variant>
        <vt:lpwstr/>
      </vt:variant>
      <vt:variant>
        <vt:lpwstr>_Toc51860570</vt:lpwstr>
      </vt:variant>
      <vt:variant>
        <vt:i4>1835067</vt:i4>
      </vt:variant>
      <vt:variant>
        <vt:i4>2468</vt:i4>
      </vt:variant>
      <vt:variant>
        <vt:i4>0</vt:i4>
      </vt:variant>
      <vt:variant>
        <vt:i4>5</vt:i4>
      </vt:variant>
      <vt:variant>
        <vt:lpwstr/>
      </vt:variant>
      <vt:variant>
        <vt:lpwstr>_Toc51860569</vt:lpwstr>
      </vt:variant>
      <vt:variant>
        <vt:i4>1900603</vt:i4>
      </vt:variant>
      <vt:variant>
        <vt:i4>2462</vt:i4>
      </vt:variant>
      <vt:variant>
        <vt:i4>0</vt:i4>
      </vt:variant>
      <vt:variant>
        <vt:i4>5</vt:i4>
      </vt:variant>
      <vt:variant>
        <vt:lpwstr/>
      </vt:variant>
      <vt:variant>
        <vt:lpwstr>_Toc51860568</vt:lpwstr>
      </vt:variant>
      <vt:variant>
        <vt:i4>1179707</vt:i4>
      </vt:variant>
      <vt:variant>
        <vt:i4>2456</vt:i4>
      </vt:variant>
      <vt:variant>
        <vt:i4>0</vt:i4>
      </vt:variant>
      <vt:variant>
        <vt:i4>5</vt:i4>
      </vt:variant>
      <vt:variant>
        <vt:lpwstr/>
      </vt:variant>
      <vt:variant>
        <vt:lpwstr>_Toc51860567</vt:lpwstr>
      </vt:variant>
      <vt:variant>
        <vt:i4>1245243</vt:i4>
      </vt:variant>
      <vt:variant>
        <vt:i4>2450</vt:i4>
      </vt:variant>
      <vt:variant>
        <vt:i4>0</vt:i4>
      </vt:variant>
      <vt:variant>
        <vt:i4>5</vt:i4>
      </vt:variant>
      <vt:variant>
        <vt:lpwstr/>
      </vt:variant>
      <vt:variant>
        <vt:lpwstr>_Toc51860566</vt:lpwstr>
      </vt:variant>
      <vt:variant>
        <vt:i4>1048635</vt:i4>
      </vt:variant>
      <vt:variant>
        <vt:i4>2444</vt:i4>
      </vt:variant>
      <vt:variant>
        <vt:i4>0</vt:i4>
      </vt:variant>
      <vt:variant>
        <vt:i4>5</vt:i4>
      </vt:variant>
      <vt:variant>
        <vt:lpwstr/>
      </vt:variant>
      <vt:variant>
        <vt:lpwstr>_Toc51860565</vt:lpwstr>
      </vt:variant>
      <vt:variant>
        <vt:i4>1114171</vt:i4>
      </vt:variant>
      <vt:variant>
        <vt:i4>2438</vt:i4>
      </vt:variant>
      <vt:variant>
        <vt:i4>0</vt:i4>
      </vt:variant>
      <vt:variant>
        <vt:i4>5</vt:i4>
      </vt:variant>
      <vt:variant>
        <vt:lpwstr/>
      </vt:variant>
      <vt:variant>
        <vt:lpwstr>_Toc51860564</vt:lpwstr>
      </vt:variant>
      <vt:variant>
        <vt:i4>1441851</vt:i4>
      </vt:variant>
      <vt:variant>
        <vt:i4>2432</vt:i4>
      </vt:variant>
      <vt:variant>
        <vt:i4>0</vt:i4>
      </vt:variant>
      <vt:variant>
        <vt:i4>5</vt:i4>
      </vt:variant>
      <vt:variant>
        <vt:lpwstr/>
      </vt:variant>
      <vt:variant>
        <vt:lpwstr>_Toc51860563</vt:lpwstr>
      </vt:variant>
      <vt:variant>
        <vt:i4>1507387</vt:i4>
      </vt:variant>
      <vt:variant>
        <vt:i4>2426</vt:i4>
      </vt:variant>
      <vt:variant>
        <vt:i4>0</vt:i4>
      </vt:variant>
      <vt:variant>
        <vt:i4>5</vt:i4>
      </vt:variant>
      <vt:variant>
        <vt:lpwstr/>
      </vt:variant>
      <vt:variant>
        <vt:lpwstr>_Toc51860562</vt:lpwstr>
      </vt:variant>
      <vt:variant>
        <vt:i4>1310779</vt:i4>
      </vt:variant>
      <vt:variant>
        <vt:i4>2420</vt:i4>
      </vt:variant>
      <vt:variant>
        <vt:i4>0</vt:i4>
      </vt:variant>
      <vt:variant>
        <vt:i4>5</vt:i4>
      </vt:variant>
      <vt:variant>
        <vt:lpwstr/>
      </vt:variant>
      <vt:variant>
        <vt:lpwstr>_Toc51860561</vt:lpwstr>
      </vt:variant>
      <vt:variant>
        <vt:i4>1376315</vt:i4>
      </vt:variant>
      <vt:variant>
        <vt:i4>2414</vt:i4>
      </vt:variant>
      <vt:variant>
        <vt:i4>0</vt:i4>
      </vt:variant>
      <vt:variant>
        <vt:i4>5</vt:i4>
      </vt:variant>
      <vt:variant>
        <vt:lpwstr/>
      </vt:variant>
      <vt:variant>
        <vt:lpwstr>_Toc51860560</vt:lpwstr>
      </vt:variant>
      <vt:variant>
        <vt:i4>1835064</vt:i4>
      </vt:variant>
      <vt:variant>
        <vt:i4>2408</vt:i4>
      </vt:variant>
      <vt:variant>
        <vt:i4>0</vt:i4>
      </vt:variant>
      <vt:variant>
        <vt:i4>5</vt:i4>
      </vt:variant>
      <vt:variant>
        <vt:lpwstr/>
      </vt:variant>
      <vt:variant>
        <vt:lpwstr>_Toc51860559</vt:lpwstr>
      </vt:variant>
      <vt:variant>
        <vt:i4>1900600</vt:i4>
      </vt:variant>
      <vt:variant>
        <vt:i4>2402</vt:i4>
      </vt:variant>
      <vt:variant>
        <vt:i4>0</vt:i4>
      </vt:variant>
      <vt:variant>
        <vt:i4>5</vt:i4>
      </vt:variant>
      <vt:variant>
        <vt:lpwstr/>
      </vt:variant>
      <vt:variant>
        <vt:lpwstr>_Toc51860558</vt:lpwstr>
      </vt:variant>
      <vt:variant>
        <vt:i4>1179704</vt:i4>
      </vt:variant>
      <vt:variant>
        <vt:i4>2396</vt:i4>
      </vt:variant>
      <vt:variant>
        <vt:i4>0</vt:i4>
      </vt:variant>
      <vt:variant>
        <vt:i4>5</vt:i4>
      </vt:variant>
      <vt:variant>
        <vt:lpwstr/>
      </vt:variant>
      <vt:variant>
        <vt:lpwstr>_Toc51860557</vt:lpwstr>
      </vt:variant>
      <vt:variant>
        <vt:i4>1245240</vt:i4>
      </vt:variant>
      <vt:variant>
        <vt:i4>2390</vt:i4>
      </vt:variant>
      <vt:variant>
        <vt:i4>0</vt:i4>
      </vt:variant>
      <vt:variant>
        <vt:i4>5</vt:i4>
      </vt:variant>
      <vt:variant>
        <vt:lpwstr/>
      </vt:variant>
      <vt:variant>
        <vt:lpwstr>_Toc51860556</vt:lpwstr>
      </vt:variant>
      <vt:variant>
        <vt:i4>1048632</vt:i4>
      </vt:variant>
      <vt:variant>
        <vt:i4>2384</vt:i4>
      </vt:variant>
      <vt:variant>
        <vt:i4>0</vt:i4>
      </vt:variant>
      <vt:variant>
        <vt:i4>5</vt:i4>
      </vt:variant>
      <vt:variant>
        <vt:lpwstr/>
      </vt:variant>
      <vt:variant>
        <vt:lpwstr>_Toc51860555</vt:lpwstr>
      </vt:variant>
      <vt:variant>
        <vt:i4>1114168</vt:i4>
      </vt:variant>
      <vt:variant>
        <vt:i4>2378</vt:i4>
      </vt:variant>
      <vt:variant>
        <vt:i4>0</vt:i4>
      </vt:variant>
      <vt:variant>
        <vt:i4>5</vt:i4>
      </vt:variant>
      <vt:variant>
        <vt:lpwstr/>
      </vt:variant>
      <vt:variant>
        <vt:lpwstr>_Toc51860554</vt:lpwstr>
      </vt:variant>
      <vt:variant>
        <vt:i4>1441848</vt:i4>
      </vt:variant>
      <vt:variant>
        <vt:i4>2372</vt:i4>
      </vt:variant>
      <vt:variant>
        <vt:i4>0</vt:i4>
      </vt:variant>
      <vt:variant>
        <vt:i4>5</vt:i4>
      </vt:variant>
      <vt:variant>
        <vt:lpwstr/>
      </vt:variant>
      <vt:variant>
        <vt:lpwstr>_Toc51860553</vt:lpwstr>
      </vt:variant>
      <vt:variant>
        <vt:i4>1507384</vt:i4>
      </vt:variant>
      <vt:variant>
        <vt:i4>2366</vt:i4>
      </vt:variant>
      <vt:variant>
        <vt:i4>0</vt:i4>
      </vt:variant>
      <vt:variant>
        <vt:i4>5</vt:i4>
      </vt:variant>
      <vt:variant>
        <vt:lpwstr/>
      </vt:variant>
      <vt:variant>
        <vt:lpwstr>_Toc51860552</vt:lpwstr>
      </vt:variant>
      <vt:variant>
        <vt:i4>1310776</vt:i4>
      </vt:variant>
      <vt:variant>
        <vt:i4>2360</vt:i4>
      </vt:variant>
      <vt:variant>
        <vt:i4>0</vt:i4>
      </vt:variant>
      <vt:variant>
        <vt:i4>5</vt:i4>
      </vt:variant>
      <vt:variant>
        <vt:lpwstr/>
      </vt:variant>
      <vt:variant>
        <vt:lpwstr>_Toc51860551</vt:lpwstr>
      </vt:variant>
      <vt:variant>
        <vt:i4>1376312</vt:i4>
      </vt:variant>
      <vt:variant>
        <vt:i4>2354</vt:i4>
      </vt:variant>
      <vt:variant>
        <vt:i4>0</vt:i4>
      </vt:variant>
      <vt:variant>
        <vt:i4>5</vt:i4>
      </vt:variant>
      <vt:variant>
        <vt:lpwstr/>
      </vt:variant>
      <vt:variant>
        <vt:lpwstr>_Toc51860550</vt:lpwstr>
      </vt:variant>
      <vt:variant>
        <vt:i4>1835065</vt:i4>
      </vt:variant>
      <vt:variant>
        <vt:i4>2348</vt:i4>
      </vt:variant>
      <vt:variant>
        <vt:i4>0</vt:i4>
      </vt:variant>
      <vt:variant>
        <vt:i4>5</vt:i4>
      </vt:variant>
      <vt:variant>
        <vt:lpwstr/>
      </vt:variant>
      <vt:variant>
        <vt:lpwstr>_Toc51860549</vt:lpwstr>
      </vt:variant>
      <vt:variant>
        <vt:i4>1900601</vt:i4>
      </vt:variant>
      <vt:variant>
        <vt:i4>2342</vt:i4>
      </vt:variant>
      <vt:variant>
        <vt:i4>0</vt:i4>
      </vt:variant>
      <vt:variant>
        <vt:i4>5</vt:i4>
      </vt:variant>
      <vt:variant>
        <vt:lpwstr/>
      </vt:variant>
      <vt:variant>
        <vt:lpwstr>_Toc51860548</vt:lpwstr>
      </vt:variant>
      <vt:variant>
        <vt:i4>1179705</vt:i4>
      </vt:variant>
      <vt:variant>
        <vt:i4>2336</vt:i4>
      </vt:variant>
      <vt:variant>
        <vt:i4>0</vt:i4>
      </vt:variant>
      <vt:variant>
        <vt:i4>5</vt:i4>
      </vt:variant>
      <vt:variant>
        <vt:lpwstr/>
      </vt:variant>
      <vt:variant>
        <vt:lpwstr>_Toc51860547</vt:lpwstr>
      </vt:variant>
      <vt:variant>
        <vt:i4>1245241</vt:i4>
      </vt:variant>
      <vt:variant>
        <vt:i4>2330</vt:i4>
      </vt:variant>
      <vt:variant>
        <vt:i4>0</vt:i4>
      </vt:variant>
      <vt:variant>
        <vt:i4>5</vt:i4>
      </vt:variant>
      <vt:variant>
        <vt:lpwstr/>
      </vt:variant>
      <vt:variant>
        <vt:lpwstr>_Toc51860546</vt:lpwstr>
      </vt:variant>
      <vt:variant>
        <vt:i4>1048633</vt:i4>
      </vt:variant>
      <vt:variant>
        <vt:i4>2324</vt:i4>
      </vt:variant>
      <vt:variant>
        <vt:i4>0</vt:i4>
      </vt:variant>
      <vt:variant>
        <vt:i4>5</vt:i4>
      </vt:variant>
      <vt:variant>
        <vt:lpwstr/>
      </vt:variant>
      <vt:variant>
        <vt:lpwstr>_Toc51860545</vt:lpwstr>
      </vt:variant>
      <vt:variant>
        <vt:i4>1114169</vt:i4>
      </vt:variant>
      <vt:variant>
        <vt:i4>2318</vt:i4>
      </vt:variant>
      <vt:variant>
        <vt:i4>0</vt:i4>
      </vt:variant>
      <vt:variant>
        <vt:i4>5</vt:i4>
      </vt:variant>
      <vt:variant>
        <vt:lpwstr/>
      </vt:variant>
      <vt:variant>
        <vt:lpwstr>_Toc51860544</vt:lpwstr>
      </vt:variant>
      <vt:variant>
        <vt:i4>1441849</vt:i4>
      </vt:variant>
      <vt:variant>
        <vt:i4>2312</vt:i4>
      </vt:variant>
      <vt:variant>
        <vt:i4>0</vt:i4>
      </vt:variant>
      <vt:variant>
        <vt:i4>5</vt:i4>
      </vt:variant>
      <vt:variant>
        <vt:lpwstr/>
      </vt:variant>
      <vt:variant>
        <vt:lpwstr>_Toc51860543</vt:lpwstr>
      </vt:variant>
      <vt:variant>
        <vt:i4>1507385</vt:i4>
      </vt:variant>
      <vt:variant>
        <vt:i4>2306</vt:i4>
      </vt:variant>
      <vt:variant>
        <vt:i4>0</vt:i4>
      </vt:variant>
      <vt:variant>
        <vt:i4>5</vt:i4>
      </vt:variant>
      <vt:variant>
        <vt:lpwstr/>
      </vt:variant>
      <vt:variant>
        <vt:lpwstr>_Toc51860542</vt:lpwstr>
      </vt:variant>
      <vt:variant>
        <vt:i4>1310777</vt:i4>
      </vt:variant>
      <vt:variant>
        <vt:i4>2300</vt:i4>
      </vt:variant>
      <vt:variant>
        <vt:i4>0</vt:i4>
      </vt:variant>
      <vt:variant>
        <vt:i4>5</vt:i4>
      </vt:variant>
      <vt:variant>
        <vt:lpwstr/>
      </vt:variant>
      <vt:variant>
        <vt:lpwstr>_Toc51860541</vt:lpwstr>
      </vt:variant>
      <vt:variant>
        <vt:i4>1376313</vt:i4>
      </vt:variant>
      <vt:variant>
        <vt:i4>2294</vt:i4>
      </vt:variant>
      <vt:variant>
        <vt:i4>0</vt:i4>
      </vt:variant>
      <vt:variant>
        <vt:i4>5</vt:i4>
      </vt:variant>
      <vt:variant>
        <vt:lpwstr/>
      </vt:variant>
      <vt:variant>
        <vt:lpwstr>_Toc51860540</vt:lpwstr>
      </vt:variant>
      <vt:variant>
        <vt:i4>1835070</vt:i4>
      </vt:variant>
      <vt:variant>
        <vt:i4>2288</vt:i4>
      </vt:variant>
      <vt:variant>
        <vt:i4>0</vt:i4>
      </vt:variant>
      <vt:variant>
        <vt:i4>5</vt:i4>
      </vt:variant>
      <vt:variant>
        <vt:lpwstr/>
      </vt:variant>
      <vt:variant>
        <vt:lpwstr>_Toc51860539</vt:lpwstr>
      </vt:variant>
      <vt:variant>
        <vt:i4>1900606</vt:i4>
      </vt:variant>
      <vt:variant>
        <vt:i4>2282</vt:i4>
      </vt:variant>
      <vt:variant>
        <vt:i4>0</vt:i4>
      </vt:variant>
      <vt:variant>
        <vt:i4>5</vt:i4>
      </vt:variant>
      <vt:variant>
        <vt:lpwstr/>
      </vt:variant>
      <vt:variant>
        <vt:lpwstr>_Toc51860538</vt:lpwstr>
      </vt:variant>
      <vt:variant>
        <vt:i4>1179710</vt:i4>
      </vt:variant>
      <vt:variant>
        <vt:i4>2276</vt:i4>
      </vt:variant>
      <vt:variant>
        <vt:i4>0</vt:i4>
      </vt:variant>
      <vt:variant>
        <vt:i4>5</vt:i4>
      </vt:variant>
      <vt:variant>
        <vt:lpwstr/>
      </vt:variant>
      <vt:variant>
        <vt:lpwstr>_Toc51860537</vt:lpwstr>
      </vt:variant>
      <vt:variant>
        <vt:i4>1245246</vt:i4>
      </vt:variant>
      <vt:variant>
        <vt:i4>2270</vt:i4>
      </vt:variant>
      <vt:variant>
        <vt:i4>0</vt:i4>
      </vt:variant>
      <vt:variant>
        <vt:i4>5</vt:i4>
      </vt:variant>
      <vt:variant>
        <vt:lpwstr/>
      </vt:variant>
      <vt:variant>
        <vt:lpwstr>_Toc51860536</vt:lpwstr>
      </vt:variant>
      <vt:variant>
        <vt:i4>1048638</vt:i4>
      </vt:variant>
      <vt:variant>
        <vt:i4>2264</vt:i4>
      </vt:variant>
      <vt:variant>
        <vt:i4>0</vt:i4>
      </vt:variant>
      <vt:variant>
        <vt:i4>5</vt:i4>
      </vt:variant>
      <vt:variant>
        <vt:lpwstr/>
      </vt:variant>
      <vt:variant>
        <vt:lpwstr>_Toc51860535</vt:lpwstr>
      </vt:variant>
      <vt:variant>
        <vt:i4>1114174</vt:i4>
      </vt:variant>
      <vt:variant>
        <vt:i4>2258</vt:i4>
      </vt:variant>
      <vt:variant>
        <vt:i4>0</vt:i4>
      </vt:variant>
      <vt:variant>
        <vt:i4>5</vt:i4>
      </vt:variant>
      <vt:variant>
        <vt:lpwstr/>
      </vt:variant>
      <vt:variant>
        <vt:lpwstr>_Toc51860534</vt:lpwstr>
      </vt:variant>
      <vt:variant>
        <vt:i4>1441854</vt:i4>
      </vt:variant>
      <vt:variant>
        <vt:i4>2252</vt:i4>
      </vt:variant>
      <vt:variant>
        <vt:i4>0</vt:i4>
      </vt:variant>
      <vt:variant>
        <vt:i4>5</vt:i4>
      </vt:variant>
      <vt:variant>
        <vt:lpwstr/>
      </vt:variant>
      <vt:variant>
        <vt:lpwstr>_Toc51860533</vt:lpwstr>
      </vt:variant>
      <vt:variant>
        <vt:i4>1507390</vt:i4>
      </vt:variant>
      <vt:variant>
        <vt:i4>2246</vt:i4>
      </vt:variant>
      <vt:variant>
        <vt:i4>0</vt:i4>
      </vt:variant>
      <vt:variant>
        <vt:i4>5</vt:i4>
      </vt:variant>
      <vt:variant>
        <vt:lpwstr/>
      </vt:variant>
      <vt:variant>
        <vt:lpwstr>_Toc51860532</vt:lpwstr>
      </vt:variant>
      <vt:variant>
        <vt:i4>1310782</vt:i4>
      </vt:variant>
      <vt:variant>
        <vt:i4>2240</vt:i4>
      </vt:variant>
      <vt:variant>
        <vt:i4>0</vt:i4>
      </vt:variant>
      <vt:variant>
        <vt:i4>5</vt:i4>
      </vt:variant>
      <vt:variant>
        <vt:lpwstr/>
      </vt:variant>
      <vt:variant>
        <vt:lpwstr>_Toc51860531</vt:lpwstr>
      </vt:variant>
      <vt:variant>
        <vt:i4>1376318</vt:i4>
      </vt:variant>
      <vt:variant>
        <vt:i4>2234</vt:i4>
      </vt:variant>
      <vt:variant>
        <vt:i4>0</vt:i4>
      </vt:variant>
      <vt:variant>
        <vt:i4>5</vt:i4>
      </vt:variant>
      <vt:variant>
        <vt:lpwstr/>
      </vt:variant>
      <vt:variant>
        <vt:lpwstr>_Toc51860530</vt:lpwstr>
      </vt:variant>
      <vt:variant>
        <vt:i4>1835071</vt:i4>
      </vt:variant>
      <vt:variant>
        <vt:i4>2228</vt:i4>
      </vt:variant>
      <vt:variant>
        <vt:i4>0</vt:i4>
      </vt:variant>
      <vt:variant>
        <vt:i4>5</vt:i4>
      </vt:variant>
      <vt:variant>
        <vt:lpwstr/>
      </vt:variant>
      <vt:variant>
        <vt:lpwstr>_Toc51860529</vt:lpwstr>
      </vt:variant>
      <vt:variant>
        <vt:i4>1900607</vt:i4>
      </vt:variant>
      <vt:variant>
        <vt:i4>2222</vt:i4>
      </vt:variant>
      <vt:variant>
        <vt:i4>0</vt:i4>
      </vt:variant>
      <vt:variant>
        <vt:i4>5</vt:i4>
      </vt:variant>
      <vt:variant>
        <vt:lpwstr/>
      </vt:variant>
      <vt:variant>
        <vt:lpwstr>_Toc51860528</vt:lpwstr>
      </vt:variant>
      <vt:variant>
        <vt:i4>1179711</vt:i4>
      </vt:variant>
      <vt:variant>
        <vt:i4>2216</vt:i4>
      </vt:variant>
      <vt:variant>
        <vt:i4>0</vt:i4>
      </vt:variant>
      <vt:variant>
        <vt:i4>5</vt:i4>
      </vt:variant>
      <vt:variant>
        <vt:lpwstr/>
      </vt:variant>
      <vt:variant>
        <vt:lpwstr>_Toc51860527</vt:lpwstr>
      </vt:variant>
      <vt:variant>
        <vt:i4>1245247</vt:i4>
      </vt:variant>
      <vt:variant>
        <vt:i4>2210</vt:i4>
      </vt:variant>
      <vt:variant>
        <vt:i4>0</vt:i4>
      </vt:variant>
      <vt:variant>
        <vt:i4>5</vt:i4>
      </vt:variant>
      <vt:variant>
        <vt:lpwstr/>
      </vt:variant>
      <vt:variant>
        <vt:lpwstr>_Toc51860526</vt:lpwstr>
      </vt:variant>
      <vt:variant>
        <vt:i4>1048639</vt:i4>
      </vt:variant>
      <vt:variant>
        <vt:i4>2204</vt:i4>
      </vt:variant>
      <vt:variant>
        <vt:i4>0</vt:i4>
      </vt:variant>
      <vt:variant>
        <vt:i4>5</vt:i4>
      </vt:variant>
      <vt:variant>
        <vt:lpwstr/>
      </vt:variant>
      <vt:variant>
        <vt:lpwstr>_Toc51860525</vt:lpwstr>
      </vt:variant>
      <vt:variant>
        <vt:i4>1114175</vt:i4>
      </vt:variant>
      <vt:variant>
        <vt:i4>2198</vt:i4>
      </vt:variant>
      <vt:variant>
        <vt:i4>0</vt:i4>
      </vt:variant>
      <vt:variant>
        <vt:i4>5</vt:i4>
      </vt:variant>
      <vt:variant>
        <vt:lpwstr/>
      </vt:variant>
      <vt:variant>
        <vt:lpwstr>_Toc51860524</vt:lpwstr>
      </vt:variant>
      <vt:variant>
        <vt:i4>1441855</vt:i4>
      </vt:variant>
      <vt:variant>
        <vt:i4>2192</vt:i4>
      </vt:variant>
      <vt:variant>
        <vt:i4>0</vt:i4>
      </vt:variant>
      <vt:variant>
        <vt:i4>5</vt:i4>
      </vt:variant>
      <vt:variant>
        <vt:lpwstr/>
      </vt:variant>
      <vt:variant>
        <vt:lpwstr>_Toc51860523</vt:lpwstr>
      </vt:variant>
      <vt:variant>
        <vt:i4>1507391</vt:i4>
      </vt:variant>
      <vt:variant>
        <vt:i4>2186</vt:i4>
      </vt:variant>
      <vt:variant>
        <vt:i4>0</vt:i4>
      </vt:variant>
      <vt:variant>
        <vt:i4>5</vt:i4>
      </vt:variant>
      <vt:variant>
        <vt:lpwstr/>
      </vt:variant>
      <vt:variant>
        <vt:lpwstr>_Toc51860522</vt:lpwstr>
      </vt:variant>
      <vt:variant>
        <vt:i4>1310783</vt:i4>
      </vt:variant>
      <vt:variant>
        <vt:i4>2180</vt:i4>
      </vt:variant>
      <vt:variant>
        <vt:i4>0</vt:i4>
      </vt:variant>
      <vt:variant>
        <vt:i4>5</vt:i4>
      </vt:variant>
      <vt:variant>
        <vt:lpwstr/>
      </vt:variant>
      <vt:variant>
        <vt:lpwstr>_Toc51860521</vt:lpwstr>
      </vt:variant>
      <vt:variant>
        <vt:i4>1376319</vt:i4>
      </vt:variant>
      <vt:variant>
        <vt:i4>2174</vt:i4>
      </vt:variant>
      <vt:variant>
        <vt:i4>0</vt:i4>
      </vt:variant>
      <vt:variant>
        <vt:i4>5</vt:i4>
      </vt:variant>
      <vt:variant>
        <vt:lpwstr/>
      </vt:variant>
      <vt:variant>
        <vt:lpwstr>_Toc51860520</vt:lpwstr>
      </vt:variant>
      <vt:variant>
        <vt:i4>1835068</vt:i4>
      </vt:variant>
      <vt:variant>
        <vt:i4>2168</vt:i4>
      </vt:variant>
      <vt:variant>
        <vt:i4>0</vt:i4>
      </vt:variant>
      <vt:variant>
        <vt:i4>5</vt:i4>
      </vt:variant>
      <vt:variant>
        <vt:lpwstr/>
      </vt:variant>
      <vt:variant>
        <vt:lpwstr>_Toc51860519</vt:lpwstr>
      </vt:variant>
      <vt:variant>
        <vt:i4>1900604</vt:i4>
      </vt:variant>
      <vt:variant>
        <vt:i4>2162</vt:i4>
      </vt:variant>
      <vt:variant>
        <vt:i4>0</vt:i4>
      </vt:variant>
      <vt:variant>
        <vt:i4>5</vt:i4>
      </vt:variant>
      <vt:variant>
        <vt:lpwstr/>
      </vt:variant>
      <vt:variant>
        <vt:lpwstr>_Toc51860518</vt:lpwstr>
      </vt:variant>
      <vt:variant>
        <vt:i4>1179708</vt:i4>
      </vt:variant>
      <vt:variant>
        <vt:i4>2156</vt:i4>
      </vt:variant>
      <vt:variant>
        <vt:i4>0</vt:i4>
      </vt:variant>
      <vt:variant>
        <vt:i4>5</vt:i4>
      </vt:variant>
      <vt:variant>
        <vt:lpwstr/>
      </vt:variant>
      <vt:variant>
        <vt:lpwstr>_Toc51860517</vt:lpwstr>
      </vt:variant>
      <vt:variant>
        <vt:i4>1245244</vt:i4>
      </vt:variant>
      <vt:variant>
        <vt:i4>2150</vt:i4>
      </vt:variant>
      <vt:variant>
        <vt:i4>0</vt:i4>
      </vt:variant>
      <vt:variant>
        <vt:i4>5</vt:i4>
      </vt:variant>
      <vt:variant>
        <vt:lpwstr/>
      </vt:variant>
      <vt:variant>
        <vt:lpwstr>_Toc51860516</vt:lpwstr>
      </vt:variant>
      <vt:variant>
        <vt:i4>1048636</vt:i4>
      </vt:variant>
      <vt:variant>
        <vt:i4>2144</vt:i4>
      </vt:variant>
      <vt:variant>
        <vt:i4>0</vt:i4>
      </vt:variant>
      <vt:variant>
        <vt:i4>5</vt:i4>
      </vt:variant>
      <vt:variant>
        <vt:lpwstr/>
      </vt:variant>
      <vt:variant>
        <vt:lpwstr>_Toc51860515</vt:lpwstr>
      </vt:variant>
      <vt:variant>
        <vt:i4>1114172</vt:i4>
      </vt:variant>
      <vt:variant>
        <vt:i4>2138</vt:i4>
      </vt:variant>
      <vt:variant>
        <vt:i4>0</vt:i4>
      </vt:variant>
      <vt:variant>
        <vt:i4>5</vt:i4>
      </vt:variant>
      <vt:variant>
        <vt:lpwstr/>
      </vt:variant>
      <vt:variant>
        <vt:lpwstr>_Toc51860514</vt:lpwstr>
      </vt:variant>
      <vt:variant>
        <vt:i4>1441852</vt:i4>
      </vt:variant>
      <vt:variant>
        <vt:i4>2132</vt:i4>
      </vt:variant>
      <vt:variant>
        <vt:i4>0</vt:i4>
      </vt:variant>
      <vt:variant>
        <vt:i4>5</vt:i4>
      </vt:variant>
      <vt:variant>
        <vt:lpwstr/>
      </vt:variant>
      <vt:variant>
        <vt:lpwstr>_Toc51860513</vt:lpwstr>
      </vt:variant>
      <vt:variant>
        <vt:i4>1507388</vt:i4>
      </vt:variant>
      <vt:variant>
        <vt:i4>2126</vt:i4>
      </vt:variant>
      <vt:variant>
        <vt:i4>0</vt:i4>
      </vt:variant>
      <vt:variant>
        <vt:i4>5</vt:i4>
      </vt:variant>
      <vt:variant>
        <vt:lpwstr/>
      </vt:variant>
      <vt:variant>
        <vt:lpwstr>_Toc51860512</vt:lpwstr>
      </vt:variant>
      <vt:variant>
        <vt:i4>1310780</vt:i4>
      </vt:variant>
      <vt:variant>
        <vt:i4>2120</vt:i4>
      </vt:variant>
      <vt:variant>
        <vt:i4>0</vt:i4>
      </vt:variant>
      <vt:variant>
        <vt:i4>5</vt:i4>
      </vt:variant>
      <vt:variant>
        <vt:lpwstr/>
      </vt:variant>
      <vt:variant>
        <vt:lpwstr>_Toc51860511</vt:lpwstr>
      </vt:variant>
      <vt:variant>
        <vt:i4>1376316</vt:i4>
      </vt:variant>
      <vt:variant>
        <vt:i4>2114</vt:i4>
      </vt:variant>
      <vt:variant>
        <vt:i4>0</vt:i4>
      </vt:variant>
      <vt:variant>
        <vt:i4>5</vt:i4>
      </vt:variant>
      <vt:variant>
        <vt:lpwstr/>
      </vt:variant>
      <vt:variant>
        <vt:lpwstr>_Toc51860510</vt:lpwstr>
      </vt:variant>
      <vt:variant>
        <vt:i4>1835069</vt:i4>
      </vt:variant>
      <vt:variant>
        <vt:i4>2108</vt:i4>
      </vt:variant>
      <vt:variant>
        <vt:i4>0</vt:i4>
      </vt:variant>
      <vt:variant>
        <vt:i4>5</vt:i4>
      </vt:variant>
      <vt:variant>
        <vt:lpwstr/>
      </vt:variant>
      <vt:variant>
        <vt:lpwstr>_Toc51860509</vt:lpwstr>
      </vt:variant>
      <vt:variant>
        <vt:i4>1900605</vt:i4>
      </vt:variant>
      <vt:variant>
        <vt:i4>2102</vt:i4>
      </vt:variant>
      <vt:variant>
        <vt:i4>0</vt:i4>
      </vt:variant>
      <vt:variant>
        <vt:i4>5</vt:i4>
      </vt:variant>
      <vt:variant>
        <vt:lpwstr/>
      </vt:variant>
      <vt:variant>
        <vt:lpwstr>_Toc51860508</vt:lpwstr>
      </vt:variant>
      <vt:variant>
        <vt:i4>1179709</vt:i4>
      </vt:variant>
      <vt:variant>
        <vt:i4>2096</vt:i4>
      </vt:variant>
      <vt:variant>
        <vt:i4>0</vt:i4>
      </vt:variant>
      <vt:variant>
        <vt:i4>5</vt:i4>
      </vt:variant>
      <vt:variant>
        <vt:lpwstr/>
      </vt:variant>
      <vt:variant>
        <vt:lpwstr>_Toc51860507</vt:lpwstr>
      </vt:variant>
      <vt:variant>
        <vt:i4>1245245</vt:i4>
      </vt:variant>
      <vt:variant>
        <vt:i4>2090</vt:i4>
      </vt:variant>
      <vt:variant>
        <vt:i4>0</vt:i4>
      </vt:variant>
      <vt:variant>
        <vt:i4>5</vt:i4>
      </vt:variant>
      <vt:variant>
        <vt:lpwstr/>
      </vt:variant>
      <vt:variant>
        <vt:lpwstr>_Toc51860506</vt:lpwstr>
      </vt:variant>
      <vt:variant>
        <vt:i4>1048637</vt:i4>
      </vt:variant>
      <vt:variant>
        <vt:i4>2084</vt:i4>
      </vt:variant>
      <vt:variant>
        <vt:i4>0</vt:i4>
      </vt:variant>
      <vt:variant>
        <vt:i4>5</vt:i4>
      </vt:variant>
      <vt:variant>
        <vt:lpwstr/>
      </vt:variant>
      <vt:variant>
        <vt:lpwstr>_Toc51860505</vt:lpwstr>
      </vt:variant>
      <vt:variant>
        <vt:i4>1114173</vt:i4>
      </vt:variant>
      <vt:variant>
        <vt:i4>2078</vt:i4>
      </vt:variant>
      <vt:variant>
        <vt:i4>0</vt:i4>
      </vt:variant>
      <vt:variant>
        <vt:i4>5</vt:i4>
      </vt:variant>
      <vt:variant>
        <vt:lpwstr/>
      </vt:variant>
      <vt:variant>
        <vt:lpwstr>_Toc51860504</vt:lpwstr>
      </vt:variant>
      <vt:variant>
        <vt:i4>1441853</vt:i4>
      </vt:variant>
      <vt:variant>
        <vt:i4>2072</vt:i4>
      </vt:variant>
      <vt:variant>
        <vt:i4>0</vt:i4>
      </vt:variant>
      <vt:variant>
        <vt:i4>5</vt:i4>
      </vt:variant>
      <vt:variant>
        <vt:lpwstr/>
      </vt:variant>
      <vt:variant>
        <vt:lpwstr>_Toc51860503</vt:lpwstr>
      </vt:variant>
      <vt:variant>
        <vt:i4>1507389</vt:i4>
      </vt:variant>
      <vt:variant>
        <vt:i4>2066</vt:i4>
      </vt:variant>
      <vt:variant>
        <vt:i4>0</vt:i4>
      </vt:variant>
      <vt:variant>
        <vt:i4>5</vt:i4>
      </vt:variant>
      <vt:variant>
        <vt:lpwstr/>
      </vt:variant>
      <vt:variant>
        <vt:lpwstr>_Toc51860502</vt:lpwstr>
      </vt:variant>
      <vt:variant>
        <vt:i4>1310781</vt:i4>
      </vt:variant>
      <vt:variant>
        <vt:i4>2060</vt:i4>
      </vt:variant>
      <vt:variant>
        <vt:i4>0</vt:i4>
      </vt:variant>
      <vt:variant>
        <vt:i4>5</vt:i4>
      </vt:variant>
      <vt:variant>
        <vt:lpwstr/>
      </vt:variant>
      <vt:variant>
        <vt:lpwstr>_Toc51860501</vt:lpwstr>
      </vt:variant>
      <vt:variant>
        <vt:i4>1376317</vt:i4>
      </vt:variant>
      <vt:variant>
        <vt:i4>2054</vt:i4>
      </vt:variant>
      <vt:variant>
        <vt:i4>0</vt:i4>
      </vt:variant>
      <vt:variant>
        <vt:i4>5</vt:i4>
      </vt:variant>
      <vt:variant>
        <vt:lpwstr/>
      </vt:variant>
      <vt:variant>
        <vt:lpwstr>_Toc51860500</vt:lpwstr>
      </vt:variant>
      <vt:variant>
        <vt:i4>1900596</vt:i4>
      </vt:variant>
      <vt:variant>
        <vt:i4>2048</vt:i4>
      </vt:variant>
      <vt:variant>
        <vt:i4>0</vt:i4>
      </vt:variant>
      <vt:variant>
        <vt:i4>5</vt:i4>
      </vt:variant>
      <vt:variant>
        <vt:lpwstr/>
      </vt:variant>
      <vt:variant>
        <vt:lpwstr>_Toc51860499</vt:lpwstr>
      </vt:variant>
      <vt:variant>
        <vt:i4>1835060</vt:i4>
      </vt:variant>
      <vt:variant>
        <vt:i4>2042</vt:i4>
      </vt:variant>
      <vt:variant>
        <vt:i4>0</vt:i4>
      </vt:variant>
      <vt:variant>
        <vt:i4>5</vt:i4>
      </vt:variant>
      <vt:variant>
        <vt:lpwstr/>
      </vt:variant>
      <vt:variant>
        <vt:lpwstr>_Toc51860498</vt:lpwstr>
      </vt:variant>
      <vt:variant>
        <vt:i4>1245236</vt:i4>
      </vt:variant>
      <vt:variant>
        <vt:i4>2036</vt:i4>
      </vt:variant>
      <vt:variant>
        <vt:i4>0</vt:i4>
      </vt:variant>
      <vt:variant>
        <vt:i4>5</vt:i4>
      </vt:variant>
      <vt:variant>
        <vt:lpwstr/>
      </vt:variant>
      <vt:variant>
        <vt:lpwstr>_Toc51860497</vt:lpwstr>
      </vt:variant>
      <vt:variant>
        <vt:i4>1179700</vt:i4>
      </vt:variant>
      <vt:variant>
        <vt:i4>2030</vt:i4>
      </vt:variant>
      <vt:variant>
        <vt:i4>0</vt:i4>
      </vt:variant>
      <vt:variant>
        <vt:i4>5</vt:i4>
      </vt:variant>
      <vt:variant>
        <vt:lpwstr/>
      </vt:variant>
      <vt:variant>
        <vt:lpwstr>_Toc51860496</vt:lpwstr>
      </vt:variant>
      <vt:variant>
        <vt:i4>1114164</vt:i4>
      </vt:variant>
      <vt:variant>
        <vt:i4>2024</vt:i4>
      </vt:variant>
      <vt:variant>
        <vt:i4>0</vt:i4>
      </vt:variant>
      <vt:variant>
        <vt:i4>5</vt:i4>
      </vt:variant>
      <vt:variant>
        <vt:lpwstr/>
      </vt:variant>
      <vt:variant>
        <vt:lpwstr>_Toc51860495</vt:lpwstr>
      </vt:variant>
      <vt:variant>
        <vt:i4>1048628</vt:i4>
      </vt:variant>
      <vt:variant>
        <vt:i4>2018</vt:i4>
      </vt:variant>
      <vt:variant>
        <vt:i4>0</vt:i4>
      </vt:variant>
      <vt:variant>
        <vt:i4>5</vt:i4>
      </vt:variant>
      <vt:variant>
        <vt:lpwstr/>
      </vt:variant>
      <vt:variant>
        <vt:lpwstr>_Toc51860494</vt:lpwstr>
      </vt:variant>
      <vt:variant>
        <vt:i4>1507380</vt:i4>
      </vt:variant>
      <vt:variant>
        <vt:i4>2012</vt:i4>
      </vt:variant>
      <vt:variant>
        <vt:i4>0</vt:i4>
      </vt:variant>
      <vt:variant>
        <vt:i4>5</vt:i4>
      </vt:variant>
      <vt:variant>
        <vt:lpwstr/>
      </vt:variant>
      <vt:variant>
        <vt:lpwstr>_Toc51860493</vt:lpwstr>
      </vt:variant>
      <vt:variant>
        <vt:i4>1441844</vt:i4>
      </vt:variant>
      <vt:variant>
        <vt:i4>2006</vt:i4>
      </vt:variant>
      <vt:variant>
        <vt:i4>0</vt:i4>
      </vt:variant>
      <vt:variant>
        <vt:i4>5</vt:i4>
      </vt:variant>
      <vt:variant>
        <vt:lpwstr/>
      </vt:variant>
      <vt:variant>
        <vt:lpwstr>_Toc51860492</vt:lpwstr>
      </vt:variant>
      <vt:variant>
        <vt:i4>1376308</vt:i4>
      </vt:variant>
      <vt:variant>
        <vt:i4>2000</vt:i4>
      </vt:variant>
      <vt:variant>
        <vt:i4>0</vt:i4>
      </vt:variant>
      <vt:variant>
        <vt:i4>5</vt:i4>
      </vt:variant>
      <vt:variant>
        <vt:lpwstr/>
      </vt:variant>
      <vt:variant>
        <vt:lpwstr>_Toc51860491</vt:lpwstr>
      </vt:variant>
      <vt:variant>
        <vt:i4>1310772</vt:i4>
      </vt:variant>
      <vt:variant>
        <vt:i4>1994</vt:i4>
      </vt:variant>
      <vt:variant>
        <vt:i4>0</vt:i4>
      </vt:variant>
      <vt:variant>
        <vt:i4>5</vt:i4>
      </vt:variant>
      <vt:variant>
        <vt:lpwstr/>
      </vt:variant>
      <vt:variant>
        <vt:lpwstr>_Toc51860490</vt:lpwstr>
      </vt:variant>
      <vt:variant>
        <vt:i4>1900597</vt:i4>
      </vt:variant>
      <vt:variant>
        <vt:i4>1988</vt:i4>
      </vt:variant>
      <vt:variant>
        <vt:i4>0</vt:i4>
      </vt:variant>
      <vt:variant>
        <vt:i4>5</vt:i4>
      </vt:variant>
      <vt:variant>
        <vt:lpwstr/>
      </vt:variant>
      <vt:variant>
        <vt:lpwstr>_Toc51860489</vt:lpwstr>
      </vt:variant>
      <vt:variant>
        <vt:i4>1835061</vt:i4>
      </vt:variant>
      <vt:variant>
        <vt:i4>1982</vt:i4>
      </vt:variant>
      <vt:variant>
        <vt:i4>0</vt:i4>
      </vt:variant>
      <vt:variant>
        <vt:i4>5</vt:i4>
      </vt:variant>
      <vt:variant>
        <vt:lpwstr/>
      </vt:variant>
      <vt:variant>
        <vt:lpwstr>_Toc51860488</vt:lpwstr>
      </vt:variant>
      <vt:variant>
        <vt:i4>1245237</vt:i4>
      </vt:variant>
      <vt:variant>
        <vt:i4>1976</vt:i4>
      </vt:variant>
      <vt:variant>
        <vt:i4>0</vt:i4>
      </vt:variant>
      <vt:variant>
        <vt:i4>5</vt:i4>
      </vt:variant>
      <vt:variant>
        <vt:lpwstr/>
      </vt:variant>
      <vt:variant>
        <vt:lpwstr>_Toc51860487</vt:lpwstr>
      </vt:variant>
      <vt:variant>
        <vt:i4>1179701</vt:i4>
      </vt:variant>
      <vt:variant>
        <vt:i4>1970</vt:i4>
      </vt:variant>
      <vt:variant>
        <vt:i4>0</vt:i4>
      </vt:variant>
      <vt:variant>
        <vt:i4>5</vt:i4>
      </vt:variant>
      <vt:variant>
        <vt:lpwstr/>
      </vt:variant>
      <vt:variant>
        <vt:lpwstr>_Toc51860486</vt:lpwstr>
      </vt:variant>
      <vt:variant>
        <vt:i4>1114165</vt:i4>
      </vt:variant>
      <vt:variant>
        <vt:i4>1964</vt:i4>
      </vt:variant>
      <vt:variant>
        <vt:i4>0</vt:i4>
      </vt:variant>
      <vt:variant>
        <vt:i4>5</vt:i4>
      </vt:variant>
      <vt:variant>
        <vt:lpwstr/>
      </vt:variant>
      <vt:variant>
        <vt:lpwstr>_Toc51860485</vt:lpwstr>
      </vt:variant>
      <vt:variant>
        <vt:i4>1048629</vt:i4>
      </vt:variant>
      <vt:variant>
        <vt:i4>1958</vt:i4>
      </vt:variant>
      <vt:variant>
        <vt:i4>0</vt:i4>
      </vt:variant>
      <vt:variant>
        <vt:i4>5</vt:i4>
      </vt:variant>
      <vt:variant>
        <vt:lpwstr/>
      </vt:variant>
      <vt:variant>
        <vt:lpwstr>_Toc51860484</vt:lpwstr>
      </vt:variant>
      <vt:variant>
        <vt:i4>1507381</vt:i4>
      </vt:variant>
      <vt:variant>
        <vt:i4>1952</vt:i4>
      </vt:variant>
      <vt:variant>
        <vt:i4>0</vt:i4>
      </vt:variant>
      <vt:variant>
        <vt:i4>5</vt:i4>
      </vt:variant>
      <vt:variant>
        <vt:lpwstr/>
      </vt:variant>
      <vt:variant>
        <vt:lpwstr>_Toc51860483</vt:lpwstr>
      </vt:variant>
      <vt:variant>
        <vt:i4>1441845</vt:i4>
      </vt:variant>
      <vt:variant>
        <vt:i4>1946</vt:i4>
      </vt:variant>
      <vt:variant>
        <vt:i4>0</vt:i4>
      </vt:variant>
      <vt:variant>
        <vt:i4>5</vt:i4>
      </vt:variant>
      <vt:variant>
        <vt:lpwstr/>
      </vt:variant>
      <vt:variant>
        <vt:lpwstr>_Toc51860482</vt:lpwstr>
      </vt:variant>
      <vt:variant>
        <vt:i4>1376309</vt:i4>
      </vt:variant>
      <vt:variant>
        <vt:i4>1940</vt:i4>
      </vt:variant>
      <vt:variant>
        <vt:i4>0</vt:i4>
      </vt:variant>
      <vt:variant>
        <vt:i4>5</vt:i4>
      </vt:variant>
      <vt:variant>
        <vt:lpwstr/>
      </vt:variant>
      <vt:variant>
        <vt:lpwstr>_Toc51860481</vt:lpwstr>
      </vt:variant>
      <vt:variant>
        <vt:i4>1310773</vt:i4>
      </vt:variant>
      <vt:variant>
        <vt:i4>1934</vt:i4>
      </vt:variant>
      <vt:variant>
        <vt:i4>0</vt:i4>
      </vt:variant>
      <vt:variant>
        <vt:i4>5</vt:i4>
      </vt:variant>
      <vt:variant>
        <vt:lpwstr/>
      </vt:variant>
      <vt:variant>
        <vt:lpwstr>_Toc51860480</vt:lpwstr>
      </vt:variant>
      <vt:variant>
        <vt:i4>1900602</vt:i4>
      </vt:variant>
      <vt:variant>
        <vt:i4>1928</vt:i4>
      </vt:variant>
      <vt:variant>
        <vt:i4>0</vt:i4>
      </vt:variant>
      <vt:variant>
        <vt:i4>5</vt:i4>
      </vt:variant>
      <vt:variant>
        <vt:lpwstr/>
      </vt:variant>
      <vt:variant>
        <vt:lpwstr>_Toc51860479</vt:lpwstr>
      </vt:variant>
      <vt:variant>
        <vt:i4>1835066</vt:i4>
      </vt:variant>
      <vt:variant>
        <vt:i4>1922</vt:i4>
      </vt:variant>
      <vt:variant>
        <vt:i4>0</vt:i4>
      </vt:variant>
      <vt:variant>
        <vt:i4>5</vt:i4>
      </vt:variant>
      <vt:variant>
        <vt:lpwstr/>
      </vt:variant>
      <vt:variant>
        <vt:lpwstr>_Toc51860478</vt:lpwstr>
      </vt:variant>
      <vt:variant>
        <vt:i4>1245242</vt:i4>
      </vt:variant>
      <vt:variant>
        <vt:i4>1916</vt:i4>
      </vt:variant>
      <vt:variant>
        <vt:i4>0</vt:i4>
      </vt:variant>
      <vt:variant>
        <vt:i4>5</vt:i4>
      </vt:variant>
      <vt:variant>
        <vt:lpwstr/>
      </vt:variant>
      <vt:variant>
        <vt:lpwstr>_Toc51860477</vt:lpwstr>
      </vt:variant>
      <vt:variant>
        <vt:i4>1179706</vt:i4>
      </vt:variant>
      <vt:variant>
        <vt:i4>1910</vt:i4>
      </vt:variant>
      <vt:variant>
        <vt:i4>0</vt:i4>
      </vt:variant>
      <vt:variant>
        <vt:i4>5</vt:i4>
      </vt:variant>
      <vt:variant>
        <vt:lpwstr/>
      </vt:variant>
      <vt:variant>
        <vt:lpwstr>_Toc51860476</vt:lpwstr>
      </vt:variant>
      <vt:variant>
        <vt:i4>1114170</vt:i4>
      </vt:variant>
      <vt:variant>
        <vt:i4>1904</vt:i4>
      </vt:variant>
      <vt:variant>
        <vt:i4>0</vt:i4>
      </vt:variant>
      <vt:variant>
        <vt:i4>5</vt:i4>
      </vt:variant>
      <vt:variant>
        <vt:lpwstr/>
      </vt:variant>
      <vt:variant>
        <vt:lpwstr>_Toc51860475</vt:lpwstr>
      </vt:variant>
      <vt:variant>
        <vt:i4>1048634</vt:i4>
      </vt:variant>
      <vt:variant>
        <vt:i4>1898</vt:i4>
      </vt:variant>
      <vt:variant>
        <vt:i4>0</vt:i4>
      </vt:variant>
      <vt:variant>
        <vt:i4>5</vt:i4>
      </vt:variant>
      <vt:variant>
        <vt:lpwstr/>
      </vt:variant>
      <vt:variant>
        <vt:lpwstr>_Toc51860474</vt:lpwstr>
      </vt:variant>
      <vt:variant>
        <vt:i4>1507386</vt:i4>
      </vt:variant>
      <vt:variant>
        <vt:i4>1892</vt:i4>
      </vt:variant>
      <vt:variant>
        <vt:i4>0</vt:i4>
      </vt:variant>
      <vt:variant>
        <vt:i4>5</vt:i4>
      </vt:variant>
      <vt:variant>
        <vt:lpwstr/>
      </vt:variant>
      <vt:variant>
        <vt:lpwstr>_Toc51860473</vt:lpwstr>
      </vt:variant>
      <vt:variant>
        <vt:i4>1441850</vt:i4>
      </vt:variant>
      <vt:variant>
        <vt:i4>1886</vt:i4>
      </vt:variant>
      <vt:variant>
        <vt:i4>0</vt:i4>
      </vt:variant>
      <vt:variant>
        <vt:i4>5</vt:i4>
      </vt:variant>
      <vt:variant>
        <vt:lpwstr/>
      </vt:variant>
      <vt:variant>
        <vt:lpwstr>_Toc51860472</vt:lpwstr>
      </vt:variant>
      <vt:variant>
        <vt:i4>1376314</vt:i4>
      </vt:variant>
      <vt:variant>
        <vt:i4>1880</vt:i4>
      </vt:variant>
      <vt:variant>
        <vt:i4>0</vt:i4>
      </vt:variant>
      <vt:variant>
        <vt:i4>5</vt:i4>
      </vt:variant>
      <vt:variant>
        <vt:lpwstr/>
      </vt:variant>
      <vt:variant>
        <vt:lpwstr>_Toc51860471</vt:lpwstr>
      </vt:variant>
      <vt:variant>
        <vt:i4>1310778</vt:i4>
      </vt:variant>
      <vt:variant>
        <vt:i4>1874</vt:i4>
      </vt:variant>
      <vt:variant>
        <vt:i4>0</vt:i4>
      </vt:variant>
      <vt:variant>
        <vt:i4>5</vt:i4>
      </vt:variant>
      <vt:variant>
        <vt:lpwstr/>
      </vt:variant>
      <vt:variant>
        <vt:lpwstr>_Toc51860470</vt:lpwstr>
      </vt:variant>
      <vt:variant>
        <vt:i4>1900603</vt:i4>
      </vt:variant>
      <vt:variant>
        <vt:i4>1868</vt:i4>
      </vt:variant>
      <vt:variant>
        <vt:i4>0</vt:i4>
      </vt:variant>
      <vt:variant>
        <vt:i4>5</vt:i4>
      </vt:variant>
      <vt:variant>
        <vt:lpwstr/>
      </vt:variant>
      <vt:variant>
        <vt:lpwstr>_Toc51860469</vt:lpwstr>
      </vt:variant>
      <vt:variant>
        <vt:i4>1835067</vt:i4>
      </vt:variant>
      <vt:variant>
        <vt:i4>1862</vt:i4>
      </vt:variant>
      <vt:variant>
        <vt:i4>0</vt:i4>
      </vt:variant>
      <vt:variant>
        <vt:i4>5</vt:i4>
      </vt:variant>
      <vt:variant>
        <vt:lpwstr/>
      </vt:variant>
      <vt:variant>
        <vt:lpwstr>_Toc51860468</vt:lpwstr>
      </vt:variant>
      <vt:variant>
        <vt:i4>1245243</vt:i4>
      </vt:variant>
      <vt:variant>
        <vt:i4>1856</vt:i4>
      </vt:variant>
      <vt:variant>
        <vt:i4>0</vt:i4>
      </vt:variant>
      <vt:variant>
        <vt:i4>5</vt:i4>
      </vt:variant>
      <vt:variant>
        <vt:lpwstr/>
      </vt:variant>
      <vt:variant>
        <vt:lpwstr>_Toc51860467</vt:lpwstr>
      </vt:variant>
      <vt:variant>
        <vt:i4>1179707</vt:i4>
      </vt:variant>
      <vt:variant>
        <vt:i4>1850</vt:i4>
      </vt:variant>
      <vt:variant>
        <vt:i4>0</vt:i4>
      </vt:variant>
      <vt:variant>
        <vt:i4>5</vt:i4>
      </vt:variant>
      <vt:variant>
        <vt:lpwstr/>
      </vt:variant>
      <vt:variant>
        <vt:lpwstr>_Toc51860466</vt:lpwstr>
      </vt:variant>
      <vt:variant>
        <vt:i4>1114171</vt:i4>
      </vt:variant>
      <vt:variant>
        <vt:i4>1844</vt:i4>
      </vt:variant>
      <vt:variant>
        <vt:i4>0</vt:i4>
      </vt:variant>
      <vt:variant>
        <vt:i4>5</vt:i4>
      </vt:variant>
      <vt:variant>
        <vt:lpwstr/>
      </vt:variant>
      <vt:variant>
        <vt:lpwstr>_Toc51860465</vt:lpwstr>
      </vt:variant>
      <vt:variant>
        <vt:i4>1048635</vt:i4>
      </vt:variant>
      <vt:variant>
        <vt:i4>1838</vt:i4>
      </vt:variant>
      <vt:variant>
        <vt:i4>0</vt:i4>
      </vt:variant>
      <vt:variant>
        <vt:i4>5</vt:i4>
      </vt:variant>
      <vt:variant>
        <vt:lpwstr/>
      </vt:variant>
      <vt:variant>
        <vt:lpwstr>_Toc51860464</vt:lpwstr>
      </vt:variant>
      <vt:variant>
        <vt:i4>1507387</vt:i4>
      </vt:variant>
      <vt:variant>
        <vt:i4>1832</vt:i4>
      </vt:variant>
      <vt:variant>
        <vt:i4>0</vt:i4>
      </vt:variant>
      <vt:variant>
        <vt:i4>5</vt:i4>
      </vt:variant>
      <vt:variant>
        <vt:lpwstr/>
      </vt:variant>
      <vt:variant>
        <vt:lpwstr>_Toc51860463</vt:lpwstr>
      </vt:variant>
      <vt:variant>
        <vt:i4>1441851</vt:i4>
      </vt:variant>
      <vt:variant>
        <vt:i4>1826</vt:i4>
      </vt:variant>
      <vt:variant>
        <vt:i4>0</vt:i4>
      </vt:variant>
      <vt:variant>
        <vt:i4>5</vt:i4>
      </vt:variant>
      <vt:variant>
        <vt:lpwstr/>
      </vt:variant>
      <vt:variant>
        <vt:lpwstr>_Toc51860462</vt:lpwstr>
      </vt:variant>
      <vt:variant>
        <vt:i4>1376315</vt:i4>
      </vt:variant>
      <vt:variant>
        <vt:i4>1820</vt:i4>
      </vt:variant>
      <vt:variant>
        <vt:i4>0</vt:i4>
      </vt:variant>
      <vt:variant>
        <vt:i4>5</vt:i4>
      </vt:variant>
      <vt:variant>
        <vt:lpwstr/>
      </vt:variant>
      <vt:variant>
        <vt:lpwstr>_Toc51860461</vt:lpwstr>
      </vt:variant>
      <vt:variant>
        <vt:i4>1310779</vt:i4>
      </vt:variant>
      <vt:variant>
        <vt:i4>1814</vt:i4>
      </vt:variant>
      <vt:variant>
        <vt:i4>0</vt:i4>
      </vt:variant>
      <vt:variant>
        <vt:i4>5</vt:i4>
      </vt:variant>
      <vt:variant>
        <vt:lpwstr/>
      </vt:variant>
      <vt:variant>
        <vt:lpwstr>_Toc51860460</vt:lpwstr>
      </vt:variant>
      <vt:variant>
        <vt:i4>1900600</vt:i4>
      </vt:variant>
      <vt:variant>
        <vt:i4>1808</vt:i4>
      </vt:variant>
      <vt:variant>
        <vt:i4>0</vt:i4>
      </vt:variant>
      <vt:variant>
        <vt:i4>5</vt:i4>
      </vt:variant>
      <vt:variant>
        <vt:lpwstr/>
      </vt:variant>
      <vt:variant>
        <vt:lpwstr>_Toc51860459</vt:lpwstr>
      </vt:variant>
      <vt:variant>
        <vt:i4>1835064</vt:i4>
      </vt:variant>
      <vt:variant>
        <vt:i4>1802</vt:i4>
      </vt:variant>
      <vt:variant>
        <vt:i4>0</vt:i4>
      </vt:variant>
      <vt:variant>
        <vt:i4>5</vt:i4>
      </vt:variant>
      <vt:variant>
        <vt:lpwstr/>
      </vt:variant>
      <vt:variant>
        <vt:lpwstr>_Toc51860458</vt:lpwstr>
      </vt:variant>
      <vt:variant>
        <vt:i4>1245240</vt:i4>
      </vt:variant>
      <vt:variant>
        <vt:i4>1796</vt:i4>
      </vt:variant>
      <vt:variant>
        <vt:i4>0</vt:i4>
      </vt:variant>
      <vt:variant>
        <vt:i4>5</vt:i4>
      </vt:variant>
      <vt:variant>
        <vt:lpwstr/>
      </vt:variant>
      <vt:variant>
        <vt:lpwstr>_Toc51860457</vt:lpwstr>
      </vt:variant>
      <vt:variant>
        <vt:i4>1179704</vt:i4>
      </vt:variant>
      <vt:variant>
        <vt:i4>1790</vt:i4>
      </vt:variant>
      <vt:variant>
        <vt:i4>0</vt:i4>
      </vt:variant>
      <vt:variant>
        <vt:i4>5</vt:i4>
      </vt:variant>
      <vt:variant>
        <vt:lpwstr/>
      </vt:variant>
      <vt:variant>
        <vt:lpwstr>_Toc51860456</vt:lpwstr>
      </vt:variant>
      <vt:variant>
        <vt:i4>1114168</vt:i4>
      </vt:variant>
      <vt:variant>
        <vt:i4>1784</vt:i4>
      </vt:variant>
      <vt:variant>
        <vt:i4>0</vt:i4>
      </vt:variant>
      <vt:variant>
        <vt:i4>5</vt:i4>
      </vt:variant>
      <vt:variant>
        <vt:lpwstr/>
      </vt:variant>
      <vt:variant>
        <vt:lpwstr>_Toc51860455</vt:lpwstr>
      </vt:variant>
      <vt:variant>
        <vt:i4>1048632</vt:i4>
      </vt:variant>
      <vt:variant>
        <vt:i4>1778</vt:i4>
      </vt:variant>
      <vt:variant>
        <vt:i4>0</vt:i4>
      </vt:variant>
      <vt:variant>
        <vt:i4>5</vt:i4>
      </vt:variant>
      <vt:variant>
        <vt:lpwstr/>
      </vt:variant>
      <vt:variant>
        <vt:lpwstr>_Toc51860454</vt:lpwstr>
      </vt:variant>
      <vt:variant>
        <vt:i4>1507384</vt:i4>
      </vt:variant>
      <vt:variant>
        <vt:i4>1772</vt:i4>
      </vt:variant>
      <vt:variant>
        <vt:i4>0</vt:i4>
      </vt:variant>
      <vt:variant>
        <vt:i4>5</vt:i4>
      </vt:variant>
      <vt:variant>
        <vt:lpwstr/>
      </vt:variant>
      <vt:variant>
        <vt:lpwstr>_Toc51860453</vt:lpwstr>
      </vt:variant>
      <vt:variant>
        <vt:i4>1441848</vt:i4>
      </vt:variant>
      <vt:variant>
        <vt:i4>1766</vt:i4>
      </vt:variant>
      <vt:variant>
        <vt:i4>0</vt:i4>
      </vt:variant>
      <vt:variant>
        <vt:i4>5</vt:i4>
      </vt:variant>
      <vt:variant>
        <vt:lpwstr/>
      </vt:variant>
      <vt:variant>
        <vt:lpwstr>_Toc51860452</vt:lpwstr>
      </vt:variant>
      <vt:variant>
        <vt:i4>1376312</vt:i4>
      </vt:variant>
      <vt:variant>
        <vt:i4>1760</vt:i4>
      </vt:variant>
      <vt:variant>
        <vt:i4>0</vt:i4>
      </vt:variant>
      <vt:variant>
        <vt:i4>5</vt:i4>
      </vt:variant>
      <vt:variant>
        <vt:lpwstr/>
      </vt:variant>
      <vt:variant>
        <vt:lpwstr>_Toc51860451</vt:lpwstr>
      </vt:variant>
      <vt:variant>
        <vt:i4>1310776</vt:i4>
      </vt:variant>
      <vt:variant>
        <vt:i4>1754</vt:i4>
      </vt:variant>
      <vt:variant>
        <vt:i4>0</vt:i4>
      </vt:variant>
      <vt:variant>
        <vt:i4>5</vt:i4>
      </vt:variant>
      <vt:variant>
        <vt:lpwstr/>
      </vt:variant>
      <vt:variant>
        <vt:lpwstr>_Toc51860450</vt:lpwstr>
      </vt:variant>
      <vt:variant>
        <vt:i4>1900601</vt:i4>
      </vt:variant>
      <vt:variant>
        <vt:i4>1748</vt:i4>
      </vt:variant>
      <vt:variant>
        <vt:i4>0</vt:i4>
      </vt:variant>
      <vt:variant>
        <vt:i4>5</vt:i4>
      </vt:variant>
      <vt:variant>
        <vt:lpwstr/>
      </vt:variant>
      <vt:variant>
        <vt:lpwstr>_Toc51860449</vt:lpwstr>
      </vt:variant>
      <vt:variant>
        <vt:i4>1835065</vt:i4>
      </vt:variant>
      <vt:variant>
        <vt:i4>1742</vt:i4>
      </vt:variant>
      <vt:variant>
        <vt:i4>0</vt:i4>
      </vt:variant>
      <vt:variant>
        <vt:i4>5</vt:i4>
      </vt:variant>
      <vt:variant>
        <vt:lpwstr/>
      </vt:variant>
      <vt:variant>
        <vt:lpwstr>_Toc51860448</vt:lpwstr>
      </vt:variant>
      <vt:variant>
        <vt:i4>1245241</vt:i4>
      </vt:variant>
      <vt:variant>
        <vt:i4>1736</vt:i4>
      </vt:variant>
      <vt:variant>
        <vt:i4>0</vt:i4>
      </vt:variant>
      <vt:variant>
        <vt:i4>5</vt:i4>
      </vt:variant>
      <vt:variant>
        <vt:lpwstr/>
      </vt:variant>
      <vt:variant>
        <vt:lpwstr>_Toc51860447</vt:lpwstr>
      </vt:variant>
      <vt:variant>
        <vt:i4>1179705</vt:i4>
      </vt:variant>
      <vt:variant>
        <vt:i4>1730</vt:i4>
      </vt:variant>
      <vt:variant>
        <vt:i4>0</vt:i4>
      </vt:variant>
      <vt:variant>
        <vt:i4>5</vt:i4>
      </vt:variant>
      <vt:variant>
        <vt:lpwstr/>
      </vt:variant>
      <vt:variant>
        <vt:lpwstr>_Toc51860446</vt:lpwstr>
      </vt:variant>
      <vt:variant>
        <vt:i4>1114169</vt:i4>
      </vt:variant>
      <vt:variant>
        <vt:i4>1724</vt:i4>
      </vt:variant>
      <vt:variant>
        <vt:i4>0</vt:i4>
      </vt:variant>
      <vt:variant>
        <vt:i4>5</vt:i4>
      </vt:variant>
      <vt:variant>
        <vt:lpwstr/>
      </vt:variant>
      <vt:variant>
        <vt:lpwstr>_Toc51860445</vt:lpwstr>
      </vt:variant>
      <vt:variant>
        <vt:i4>1048633</vt:i4>
      </vt:variant>
      <vt:variant>
        <vt:i4>1718</vt:i4>
      </vt:variant>
      <vt:variant>
        <vt:i4>0</vt:i4>
      </vt:variant>
      <vt:variant>
        <vt:i4>5</vt:i4>
      </vt:variant>
      <vt:variant>
        <vt:lpwstr/>
      </vt:variant>
      <vt:variant>
        <vt:lpwstr>_Toc51860444</vt:lpwstr>
      </vt:variant>
      <vt:variant>
        <vt:i4>1507385</vt:i4>
      </vt:variant>
      <vt:variant>
        <vt:i4>1712</vt:i4>
      </vt:variant>
      <vt:variant>
        <vt:i4>0</vt:i4>
      </vt:variant>
      <vt:variant>
        <vt:i4>5</vt:i4>
      </vt:variant>
      <vt:variant>
        <vt:lpwstr/>
      </vt:variant>
      <vt:variant>
        <vt:lpwstr>_Toc51860443</vt:lpwstr>
      </vt:variant>
      <vt:variant>
        <vt:i4>1441849</vt:i4>
      </vt:variant>
      <vt:variant>
        <vt:i4>1706</vt:i4>
      </vt:variant>
      <vt:variant>
        <vt:i4>0</vt:i4>
      </vt:variant>
      <vt:variant>
        <vt:i4>5</vt:i4>
      </vt:variant>
      <vt:variant>
        <vt:lpwstr/>
      </vt:variant>
      <vt:variant>
        <vt:lpwstr>_Toc51860442</vt:lpwstr>
      </vt:variant>
      <vt:variant>
        <vt:i4>1376313</vt:i4>
      </vt:variant>
      <vt:variant>
        <vt:i4>1700</vt:i4>
      </vt:variant>
      <vt:variant>
        <vt:i4>0</vt:i4>
      </vt:variant>
      <vt:variant>
        <vt:i4>5</vt:i4>
      </vt:variant>
      <vt:variant>
        <vt:lpwstr/>
      </vt:variant>
      <vt:variant>
        <vt:lpwstr>_Toc51860441</vt:lpwstr>
      </vt:variant>
      <vt:variant>
        <vt:i4>1310777</vt:i4>
      </vt:variant>
      <vt:variant>
        <vt:i4>1694</vt:i4>
      </vt:variant>
      <vt:variant>
        <vt:i4>0</vt:i4>
      </vt:variant>
      <vt:variant>
        <vt:i4>5</vt:i4>
      </vt:variant>
      <vt:variant>
        <vt:lpwstr/>
      </vt:variant>
      <vt:variant>
        <vt:lpwstr>_Toc51860440</vt:lpwstr>
      </vt:variant>
      <vt:variant>
        <vt:i4>1900606</vt:i4>
      </vt:variant>
      <vt:variant>
        <vt:i4>1688</vt:i4>
      </vt:variant>
      <vt:variant>
        <vt:i4>0</vt:i4>
      </vt:variant>
      <vt:variant>
        <vt:i4>5</vt:i4>
      </vt:variant>
      <vt:variant>
        <vt:lpwstr/>
      </vt:variant>
      <vt:variant>
        <vt:lpwstr>_Toc51860439</vt:lpwstr>
      </vt:variant>
      <vt:variant>
        <vt:i4>1835070</vt:i4>
      </vt:variant>
      <vt:variant>
        <vt:i4>1682</vt:i4>
      </vt:variant>
      <vt:variant>
        <vt:i4>0</vt:i4>
      </vt:variant>
      <vt:variant>
        <vt:i4>5</vt:i4>
      </vt:variant>
      <vt:variant>
        <vt:lpwstr/>
      </vt:variant>
      <vt:variant>
        <vt:lpwstr>_Toc51860438</vt:lpwstr>
      </vt:variant>
      <vt:variant>
        <vt:i4>1245246</vt:i4>
      </vt:variant>
      <vt:variant>
        <vt:i4>1676</vt:i4>
      </vt:variant>
      <vt:variant>
        <vt:i4>0</vt:i4>
      </vt:variant>
      <vt:variant>
        <vt:i4>5</vt:i4>
      </vt:variant>
      <vt:variant>
        <vt:lpwstr/>
      </vt:variant>
      <vt:variant>
        <vt:lpwstr>_Toc51860437</vt:lpwstr>
      </vt:variant>
      <vt:variant>
        <vt:i4>1179710</vt:i4>
      </vt:variant>
      <vt:variant>
        <vt:i4>1670</vt:i4>
      </vt:variant>
      <vt:variant>
        <vt:i4>0</vt:i4>
      </vt:variant>
      <vt:variant>
        <vt:i4>5</vt:i4>
      </vt:variant>
      <vt:variant>
        <vt:lpwstr/>
      </vt:variant>
      <vt:variant>
        <vt:lpwstr>_Toc51860436</vt:lpwstr>
      </vt:variant>
      <vt:variant>
        <vt:i4>1114174</vt:i4>
      </vt:variant>
      <vt:variant>
        <vt:i4>1664</vt:i4>
      </vt:variant>
      <vt:variant>
        <vt:i4>0</vt:i4>
      </vt:variant>
      <vt:variant>
        <vt:i4>5</vt:i4>
      </vt:variant>
      <vt:variant>
        <vt:lpwstr/>
      </vt:variant>
      <vt:variant>
        <vt:lpwstr>_Toc51860435</vt:lpwstr>
      </vt:variant>
      <vt:variant>
        <vt:i4>1048638</vt:i4>
      </vt:variant>
      <vt:variant>
        <vt:i4>1658</vt:i4>
      </vt:variant>
      <vt:variant>
        <vt:i4>0</vt:i4>
      </vt:variant>
      <vt:variant>
        <vt:i4>5</vt:i4>
      </vt:variant>
      <vt:variant>
        <vt:lpwstr/>
      </vt:variant>
      <vt:variant>
        <vt:lpwstr>_Toc51860434</vt:lpwstr>
      </vt:variant>
      <vt:variant>
        <vt:i4>1507390</vt:i4>
      </vt:variant>
      <vt:variant>
        <vt:i4>1652</vt:i4>
      </vt:variant>
      <vt:variant>
        <vt:i4>0</vt:i4>
      </vt:variant>
      <vt:variant>
        <vt:i4>5</vt:i4>
      </vt:variant>
      <vt:variant>
        <vt:lpwstr/>
      </vt:variant>
      <vt:variant>
        <vt:lpwstr>_Toc51860433</vt:lpwstr>
      </vt:variant>
      <vt:variant>
        <vt:i4>1441854</vt:i4>
      </vt:variant>
      <vt:variant>
        <vt:i4>1646</vt:i4>
      </vt:variant>
      <vt:variant>
        <vt:i4>0</vt:i4>
      </vt:variant>
      <vt:variant>
        <vt:i4>5</vt:i4>
      </vt:variant>
      <vt:variant>
        <vt:lpwstr/>
      </vt:variant>
      <vt:variant>
        <vt:lpwstr>_Toc51860432</vt:lpwstr>
      </vt:variant>
      <vt:variant>
        <vt:i4>1376318</vt:i4>
      </vt:variant>
      <vt:variant>
        <vt:i4>1640</vt:i4>
      </vt:variant>
      <vt:variant>
        <vt:i4>0</vt:i4>
      </vt:variant>
      <vt:variant>
        <vt:i4>5</vt:i4>
      </vt:variant>
      <vt:variant>
        <vt:lpwstr/>
      </vt:variant>
      <vt:variant>
        <vt:lpwstr>_Toc51860431</vt:lpwstr>
      </vt:variant>
      <vt:variant>
        <vt:i4>1310782</vt:i4>
      </vt:variant>
      <vt:variant>
        <vt:i4>1634</vt:i4>
      </vt:variant>
      <vt:variant>
        <vt:i4>0</vt:i4>
      </vt:variant>
      <vt:variant>
        <vt:i4>5</vt:i4>
      </vt:variant>
      <vt:variant>
        <vt:lpwstr/>
      </vt:variant>
      <vt:variant>
        <vt:lpwstr>_Toc51860430</vt:lpwstr>
      </vt:variant>
      <vt:variant>
        <vt:i4>1900607</vt:i4>
      </vt:variant>
      <vt:variant>
        <vt:i4>1628</vt:i4>
      </vt:variant>
      <vt:variant>
        <vt:i4>0</vt:i4>
      </vt:variant>
      <vt:variant>
        <vt:i4>5</vt:i4>
      </vt:variant>
      <vt:variant>
        <vt:lpwstr/>
      </vt:variant>
      <vt:variant>
        <vt:lpwstr>_Toc51860429</vt:lpwstr>
      </vt:variant>
      <vt:variant>
        <vt:i4>1835071</vt:i4>
      </vt:variant>
      <vt:variant>
        <vt:i4>1622</vt:i4>
      </vt:variant>
      <vt:variant>
        <vt:i4>0</vt:i4>
      </vt:variant>
      <vt:variant>
        <vt:i4>5</vt:i4>
      </vt:variant>
      <vt:variant>
        <vt:lpwstr/>
      </vt:variant>
      <vt:variant>
        <vt:lpwstr>_Toc51860428</vt:lpwstr>
      </vt:variant>
      <vt:variant>
        <vt:i4>1245247</vt:i4>
      </vt:variant>
      <vt:variant>
        <vt:i4>1616</vt:i4>
      </vt:variant>
      <vt:variant>
        <vt:i4>0</vt:i4>
      </vt:variant>
      <vt:variant>
        <vt:i4>5</vt:i4>
      </vt:variant>
      <vt:variant>
        <vt:lpwstr/>
      </vt:variant>
      <vt:variant>
        <vt:lpwstr>_Toc51860427</vt:lpwstr>
      </vt:variant>
      <vt:variant>
        <vt:i4>1179711</vt:i4>
      </vt:variant>
      <vt:variant>
        <vt:i4>1610</vt:i4>
      </vt:variant>
      <vt:variant>
        <vt:i4>0</vt:i4>
      </vt:variant>
      <vt:variant>
        <vt:i4>5</vt:i4>
      </vt:variant>
      <vt:variant>
        <vt:lpwstr/>
      </vt:variant>
      <vt:variant>
        <vt:lpwstr>_Toc51860426</vt:lpwstr>
      </vt:variant>
      <vt:variant>
        <vt:i4>1114175</vt:i4>
      </vt:variant>
      <vt:variant>
        <vt:i4>1604</vt:i4>
      </vt:variant>
      <vt:variant>
        <vt:i4>0</vt:i4>
      </vt:variant>
      <vt:variant>
        <vt:i4>5</vt:i4>
      </vt:variant>
      <vt:variant>
        <vt:lpwstr/>
      </vt:variant>
      <vt:variant>
        <vt:lpwstr>_Toc51860425</vt:lpwstr>
      </vt:variant>
      <vt:variant>
        <vt:i4>1048639</vt:i4>
      </vt:variant>
      <vt:variant>
        <vt:i4>1598</vt:i4>
      </vt:variant>
      <vt:variant>
        <vt:i4>0</vt:i4>
      </vt:variant>
      <vt:variant>
        <vt:i4>5</vt:i4>
      </vt:variant>
      <vt:variant>
        <vt:lpwstr/>
      </vt:variant>
      <vt:variant>
        <vt:lpwstr>_Toc51860424</vt:lpwstr>
      </vt:variant>
      <vt:variant>
        <vt:i4>1507391</vt:i4>
      </vt:variant>
      <vt:variant>
        <vt:i4>1592</vt:i4>
      </vt:variant>
      <vt:variant>
        <vt:i4>0</vt:i4>
      </vt:variant>
      <vt:variant>
        <vt:i4>5</vt:i4>
      </vt:variant>
      <vt:variant>
        <vt:lpwstr/>
      </vt:variant>
      <vt:variant>
        <vt:lpwstr>_Toc51860423</vt:lpwstr>
      </vt:variant>
      <vt:variant>
        <vt:i4>1441855</vt:i4>
      </vt:variant>
      <vt:variant>
        <vt:i4>1586</vt:i4>
      </vt:variant>
      <vt:variant>
        <vt:i4>0</vt:i4>
      </vt:variant>
      <vt:variant>
        <vt:i4>5</vt:i4>
      </vt:variant>
      <vt:variant>
        <vt:lpwstr/>
      </vt:variant>
      <vt:variant>
        <vt:lpwstr>_Toc51860422</vt:lpwstr>
      </vt:variant>
      <vt:variant>
        <vt:i4>1376319</vt:i4>
      </vt:variant>
      <vt:variant>
        <vt:i4>1580</vt:i4>
      </vt:variant>
      <vt:variant>
        <vt:i4>0</vt:i4>
      </vt:variant>
      <vt:variant>
        <vt:i4>5</vt:i4>
      </vt:variant>
      <vt:variant>
        <vt:lpwstr/>
      </vt:variant>
      <vt:variant>
        <vt:lpwstr>_Toc51860421</vt:lpwstr>
      </vt:variant>
      <vt:variant>
        <vt:i4>1310783</vt:i4>
      </vt:variant>
      <vt:variant>
        <vt:i4>1574</vt:i4>
      </vt:variant>
      <vt:variant>
        <vt:i4>0</vt:i4>
      </vt:variant>
      <vt:variant>
        <vt:i4>5</vt:i4>
      </vt:variant>
      <vt:variant>
        <vt:lpwstr/>
      </vt:variant>
      <vt:variant>
        <vt:lpwstr>_Toc51860420</vt:lpwstr>
      </vt:variant>
      <vt:variant>
        <vt:i4>1900604</vt:i4>
      </vt:variant>
      <vt:variant>
        <vt:i4>1568</vt:i4>
      </vt:variant>
      <vt:variant>
        <vt:i4>0</vt:i4>
      </vt:variant>
      <vt:variant>
        <vt:i4>5</vt:i4>
      </vt:variant>
      <vt:variant>
        <vt:lpwstr/>
      </vt:variant>
      <vt:variant>
        <vt:lpwstr>_Toc51860419</vt:lpwstr>
      </vt:variant>
      <vt:variant>
        <vt:i4>1835068</vt:i4>
      </vt:variant>
      <vt:variant>
        <vt:i4>1562</vt:i4>
      </vt:variant>
      <vt:variant>
        <vt:i4>0</vt:i4>
      </vt:variant>
      <vt:variant>
        <vt:i4>5</vt:i4>
      </vt:variant>
      <vt:variant>
        <vt:lpwstr/>
      </vt:variant>
      <vt:variant>
        <vt:lpwstr>_Toc51860418</vt:lpwstr>
      </vt:variant>
      <vt:variant>
        <vt:i4>1245244</vt:i4>
      </vt:variant>
      <vt:variant>
        <vt:i4>1556</vt:i4>
      </vt:variant>
      <vt:variant>
        <vt:i4>0</vt:i4>
      </vt:variant>
      <vt:variant>
        <vt:i4>5</vt:i4>
      </vt:variant>
      <vt:variant>
        <vt:lpwstr/>
      </vt:variant>
      <vt:variant>
        <vt:lpwstr>_Toc51860417</vt:lpwstr>
      </vt:variant>
      <vt:variant>
        <vt:i4>1179708</vt:i4>
      </vt:variant>
      <vt:variant>
        <vt:i4>1550</vt:i4>
      </vt:variant>
      <vt:variant>
        <vt:i4>0</vt:i4>
      </vt:variant>
      <vt:variant>
        <vt:i4>5</vt:i4>
      </vt:variant>
      <vt:variant>
        <vt:lpwstr/>
      </vt:variant>
      <vt:variant>
        <vt:lpwstr>_Toc51860416</vt:lpwstr>
      </vt:variant>
      <vt:variant>
        <vt:i4>1114172</vt:i4>
      </vt:variant>
      <vt:variant>
        <vt:i4>1544</vt:i4>
      </vt:variant>
      <vt:variant>
        <vt:i4>0</vt:i4>
      </vt:variant>
      <vt:variant>
        <vt:i4>5</vt:i4>
      </vt:variant>
      <vt:variant>
        <vt:lpwstr/>
      </vt:variant>
      <vt:variant>
        <vt:lpwstr>_Toc51860415</vt:lpwstr>
      </vt:variant>
      <vt:variant>
        <vt:i4>1048636</vt:i4>
      </vt:variant>
      <vt:variant>
        <vt:i4>1538</vt:i4>
      </vt:variant>
      <vt:variant>
        <vt:i4>0</vt:i4>
      </vt:variant>
      <vt:variant>
        <vt:i4>5</vt:i4>
      </vt:variant>
      <vt:variant>
        <vt:lpwstr/>
      </vt:variant>
      <vt:variant>
        <vt:lpwstr>_Toc51860414</vt:lpwstr>
      </vt:variant>
      <vt:variant>
        <vt:i4>1507388</vt:i4>
      </vt:variant>
      <vt:variant>
        <vt:i4>1532</vt:i4>
      </vt:variant>
      <vt:variant>
        <vt:i4>0</vt:i4>
      </vt:variant>
      <vt:variant>
        <vt:i4>5</vt:i4>
      </vt:variant>
      <vt:variant>
        <vt:lpwstr/>
      </vt:variant>
      <vt:variant>
        <vt:lpwstr>_Toc51860413</vt:lpwstr>
      </vt:variant>
      <vt:variant>
        <vt:i4>1441852</vt:i4>
      </vt:variant>
      <vt:variant>
        <vt:i4>1526</vt:i4>
      </vt:variant>
      <vt:variant>
        <vt:i4>0</vt:i4>
      </vt:variant>
      <vt:variant>
        <vt:i4>5</vt:i4>
      </vt:variant>
      <vt:variant>
        <vt:lpwstr/>
      </vt:variant>
      <vt:variant>
        <vt:lpwstr>_Toc51860412</vt:lpwstr>
      </vt:variant>
      <vt:variant>
        <vt:i4>1376316</vt:i4>
      </vt:variant>
      <vt:variant>
        <vt:i4>1520</vt:i4>
      </vt:variant>
      <vt:variant>
        <vt:i4>0</vt:i4>
      </vt:variant>
      <vt:variant>
        <vt:i4>5</vt:i4>
      </vt:variant>
      <vt:variant>
        <vt:lpwstr/>
      </vt:variant>
      <vt:variant>
        <vt:lpwstr>_Toc51860411</vt:lpwstr>
      </vt:variant>
      <vt:variant>
        <vt:i4>1310780</vt:i4>
      </vt:variant>
      <vt:variant>
        <vt:i4>1514</vt:i4>
      </vt:variant>
      <vt:variant>
        <vt:i4>0</vt:i4>
      </vt:variant>
      <vt:variant>
        <vt:i4>5</vt:i4>
      </vt:variant>
      <vt:variant>
        <vt:lpwstr/>
      </vt:variant>
      <vt:variant>
        <vt:lpwstr>_Toc51860410</vt:lpwstr>
      </vt:variant>
      <vt:variant>
        <vt:i4>1900605</vt:i4>
      </vt:variant>
      <vt:variant>
        <vt:i4>1508</vt:i4>
      </vt:variant>
      <vt:variant>
        <vt:i4>0</vt:i4>
      </vt:variant>
      <vt:variant>
        <vt:i4>5</vt:i4>
      </vt:variant>
      <vt:variant>
        <vt:lpwstr/>
      </vt:variant>
      <vt:variant>
        <vt:lpwstr>_Toc51860409</vt:lpwstr>
      </vt:variant>
      <vt:variant>
        <vt:i4>1835069</vt:i4>
      </vt:variant>
      <vt:variant>
        <vt:i4>1502</vt:i4>
      </vt:variant>
      <vt:variant>
        <vt:i4>0</vt:i4>
      </vt:variant>
      <vt:variant>
        <vt:i4>5</vt:i4>
      </vt:variant>
      <vt:variant>
        <vt:lpwstr/>
      </vt:variant>
      <vt:variant>
        <vt:lpwstr>_Toc51860408</vt:lpwstr>
      </vt:variant>
      <vt:variant>
        <vt:i4>1245245</vt:i4>
      </vt:variant>
      <vt:variant>
        <vt:i4>1496</vt:i4>
      </vt:variant>
      <vt:variant>
        <vt:i4>0</vt:i4>
      </vt:variant>
      <vt:variant>
        <vt:i4>5</vt:i4>
      </vt:variant>
      <vt:variant>
        <vt:lpwstr/>
      </vt:variant>
      <vt:variant>
        <vt:lpwstr>_Toc51860407</vt:lpwstr>
      </vt:variant>
      <vt:variant>
        <vt:i4>1179709</vt:i4>
      </vt:variant>
      <vt:variant>
        <vt:i4>1490</vt:i4>
      </vt:variant>
      <vt:variant>
        <vt:i4>0</vt:i4>
      </vt:variant>
      <vt:variant>
        <vt:i4>5</vt:i4>
      </vt:variant>
      <vt:variant>
        <vt:lpwstr/>
      </vt:variant>
      <vt:variant>
        <vt:lpwstr>_Toc51860406</vt:lpwstr>
      </vt:variant>
      <vt:variant>
        <vt:i4>1114173</vt:i4>
      </vt:variant>
      <vt:variant>
        <vt:i4>1484</vt:i4>
      </vt:variant>
      <vt:variant>
        <vt:i4>0</vt:i4>
      </vt:variant>
      <vt:variant>
        <vt:i4>5</vt:i4>
      </vt:variant>
      <vt:variant>
        <vt:lpwstr/>
      </vt:variant>
      <vt:variant>
        <vt:lpwstr>_Toc51860405</vt:lpwstr>
      </vt:variant>
      <vt:variant>
        <vt:i4>1048637</vt:i4>
      </vt:variant>
      <vt:variant>
        <vt:i4>1478</vt:i4>
      </vt:variant>
      <vt:variant>
        <vt:i4>0</vt:i4>
      </vt:variant>
      <vt:variant>
        <vt:i4>5</vt:i4>
      </vt:variant>
      <vt:variant>
        <vt:lpwstr/>
      </vt:variant>
      <vt:variant>
        <vt:lpwstr>_Toc51860404</vt:lpwstr>
      </vt:variant>
      <vt:variant>
        <vt:i4>1507389</vt:i4>
      </vt:variant>
      <vt:variant>
        <vt:i4>1472</vt:i4>
      </vt:variant>
      <vt:variant>
        <vt:i4>0</vt:i4>
      </vt:variant>
      <vt:variant>
        <vt:i4>5</vt:i4>
      </vt:variant>
      <vt:variant>
        <vt:lpwstr/>
      </vt:variant>
      <vt:variant>
        <vt:lpwstr>_Toc51860403</vt:lpwstr>
      </vt:variant>
      <vt:variant>
        <vt:i4>1441853</vt:i4>
      </vt:variant>
      <vt:variant>
        <vt:i4>1466</vt:i4>
      </vt:variant>
      <vt:variant>
        <vt:i4>0</vt:i4>
      </vt:variant>
      <vt:variant>
        <vt:i4>5</vt:i4>
      </vt:variant>
      <vt:variant>
        <vt:lpwstr/>
      </vt:variant>
      <vt:variant>
        <vt:lpwstr>_Toc51860402</vt:lpwstr>
      </vt:variant>
      <vt:variant>
        <vt:i4>1376317</vt:i4>
      </vt:variant>
      <vt:variant>
        <vt:i4>1460</vt:i4>
      </vt:variant>
      <vt:variant>
        <vt:i4>0</vt:i4>
      </vt:variant>
      <vt:variant>
        <vt:i4>5</vt:i4>
      </vt:variant>
      <vt:variant>
        <vt:lpwstr/>
      </vt:variant>
      <vt:variant>
        <vt:lpwstr>_Toc51860401</vt:lpwstr>
      </vt:variant>
      <vt:variant>
        <vt:i4>1310781</vt:i4>
      </vt:variant>
      <vt:variant>
        <vt:i4>1454</vt:i4>
      </vt:variant>
      <vt:variant>
        <vt:i4>0</vt:i4>
      </vt:variant>
      <vt:variant>
        <vt:i4>5</vt:i4>
      </vt:variant>
      <vt:variant>
        <vt:lpwstr/>
      </vt:variant>
      <vt:variant>
        <vt:lpwstr>_Toc51860400</vt:lpwstr>
      </vt:variant>
      <vt:variant>
        <vt:i4>1703988</vt:i4>
      </vt:variant>
      <vt:variant>
        <vt:i4>1448</vt:i4>
      </vt:variant>
      <vt:variant>
        <vt:i4>0</vt:i4>
      </vt:variant>
      <vt:variant>
        <vt:i4>5</vt:i4>
      </vt:variant>
      <vt:variant>
        <vt:lpwstr/>
      </vt:variant>
      <vt:variant>
        <vt:lpwstr>_Toc51860399</vt:lpwstr>
      </vt:variant>
      <vt:variant>
        <vt:i4>1769524</vt:i4>
      </vt:variant>
      <vt:variant>
        <vt:i4>1442</vt:i4>
      </vt:variant>
      <vt:variant>
        <vt:i4>0</vt:i4>
      </vt:variant>
      <vt:variant>
        <vt:i4>5</vt:i4>
      </vt:variant>
      <vt:variant>
        <vt:lpwstr/>
      </vt:variant>
      <vt:variant>
        <vt:lpwstr>_Toc51860398</vt:lpwstr>
      </vt:variant>
      <vt:variant>
        <vt:i4>1310772</vt:i4>
      </vt:variant>
      <vt:variant>
        <vt:i4>1436</vt:i4>
      </vt:variant>
      <vt:variant>
        <vt:i4>0</vt:i4>
      </vt:variant>
      <vt:variant>
        <vt:i4>5</vt:i4>
      </vt:variant>
      <vt:variant>
        <vt:lpwstr/>
      </vt:variant>
      <vt:variant>
        <vt:lpwstr>_Toc51860397</vt:lpwstr>
      </vt:variant>
      <vt:variant>
        <vt:i4>1376308</vt:i4>
      </vt:variant>
      <vt:variant>
        <vt:i4>1430</vt:i4>
      </vt:variant>
      <vt:variant>
        <vt:i4>0</vt:i4>
      </vt:variant>
      <vt:variant>
        <vt:i4>5</vt:i4>
      </vt:variant>
      <vt:variant>
        <vt:lpwstr/>
      </vt:variant>
      <vt:variant>
        <vt:lpwstr>_Toc51860396</vt:lpwstr>
      </vt:variant>
      <vt:variant>
        <vt:i4>1441844</vt:i4>
      </vt:variant>
      <vt:variant>
        <vt:i4>1424</vt:i4>
      </vt:variant>
      <vt:variant>
        <vt:i4>0</vt:i4>
      </vt:variant>
      <vt:variant>
        <vt:i4>5</vt:i4>
      </vt:variant>
      <vt:variant>
        <vt:lpwstr/>
      </vt:variant>
      <vt:variant>
        <vt:lpwstr>_Toc51860395</vt:lpwstr>
      </vt:variant>
      <vt:variant>
        <vt:i4>1507380</vt:i4>
      </vt:variant>
      <vt:variant>
        <vt:i4>1418</vt:i4>
      </vt:variant>
      <vt:variant>
        <vt:i4>0</vt:i4>
      </vt:variant>
      <vt:variant>
        <vt:i4>5</vt:i4>
      </vt:variant>
      <vt:variant>
        <vt:lpwstr/>
      </vt:variant>
      <vt:variant>
        <vt:lpwstr>_Toc51860394</vt:lpwstr>
      </vt:variant>
      <vt:variant>
        <vt:i4>1048628</vt:i4>
      </vt:variant>
      <vt:variant>
        <vt:i4>1412</vt:i4>
      </vt:variant>
      <vt:variant>
        <vt:i4>0</vt:i4>
      </vt:variant>
      <vt:variant>
        <vt:i4>5</vt:i4>
      </vt:variant>
      <vt:variant>
        <vt:lpwstr/>
      </vt:variant>
      <vt:variant>
        <vt:lpwstr>_Toc51860393</vt:lpwstr>
      </vt:variant>
      <vt:variant>
        <vt:i4>1114164</vt:i4>
      </vt:variant>
      <vt:variant>
        <vt:i4>1406</vt:i4>
      </vt:variant>
      <vt:variant>
        <vt:i4>0</vt:i4>
      </vt:variant>
      <vt:variant>
        <vt:i4>5</vt:i4>
      </vt:variant>
      <vt:variant>
        <vt:lpwstr/>
      </vt:variant>
      <vt:variant>
        <vt:lpwstr>_Toc51860392</vt:lpwstr>
      </vt:variant>
      <vt:variant>
        <vt:i4>1179700</vt:i4>
      </vt:variant>
      <vt:variant>
        <vt:i4>1400</vt:i4>
      </vt:variant>
      <vt:variant>
        <vt:i4>0</vt:i4>
      </vt:variant>
      <vt:variant>
        <vt:i4>5</vt:i4>
      </vt:variant>
      <vt:variant>
        <vt:lpwstr/>
      </vt:variant>
      <vt:variant>
        <vt:lpwstr>_Toc51860391</vt:lpwstr>
      </vt:variant>
      <vt:variant>
        <vt:i4>1245236</vt:i4>
      </vt:variant>
      <vt:variant>
        <vt:i4>1394</vt:i4>
      </vt:variant>
      <vt:variant>
        <vt:i4>0</vt:i4>
      </vt:variant>
      <vt:variant>
        <vt:i4>5</vt:i4>
      </vt:variant>
      <vt:variant>
        <vt:lpwstr/>
      </vt:variant>
      <vt:variant>
        <vt:lpwstr>_Toc51860390</vt:lpwstr>
      </vt:variant>
      <vt:variant>
        <vt:i4>1703989</vt:i4>
      </vt:variant>
      <vt:variant>
        <vt:i4>1388</vt:i4>
      </vt:variant>
      <vt:variant>
        <vt:i4>0</vt:i4>
      </vt:variant>
      <vt:variant>
        <vt:i4>5</vt:i4>
      </vt:variant>
      <vt:variant>
        <vt:lpwstr/>
      </vt:variant>
      <vt:variant>
        <vt:lpwstr>_Toc51860389</vt:lpwstr>
      </vt:variant>
      <vt:variant>
        <vt:i4>1769525</vt:i4>
      </vt:variant>
      <vt:variant>
        <vt:i4>1382</vt:i4>
      </vt:variant>
      <vt:variant>
        <vt:i4>0</vt:i4>
      </vt:variant>
      <vt:variant>
        <vt:i4>5</vt:i4>
      </vt:variant>
      <vt:variant>
        <vt:lpwstr/>
      </vt:variant>
      <vt:variant>
        <vt:lpwstr>_Toc51860388</vt:lpwstr>
      </vt:variant>
      <vt:variant>
        <vt:i4>1310773</vt:i4>
      </vt:variant>
      <vt:variant>
        <vt:i4>1376</vt:i4>
      </vt:variant>
      <vt:variant>
        <vt:i4>0</vt:i4>
      </vt:variant>
      <vt:variant>
        <vt:i4>5</vt:i4>
      </vt:variant>
      <vt:variant>
        <vt:lpwstr/>
      </vt:variant>
      <vt:variant>
        <vt:lpwstr>_Toc51860387</vt:lpwstr>
      </vt:variant>
      <vt:variant>
        <vt:i4>1376309</vt:i4>
      </vt:variant>
      <vt:variant>
        <vt:i4>1370</vt:i4>
      </vt:variant>
      <vt:variant>
        <vt:i4>0</vt:i4>
      </vt:variant>
      <vt:variant>
        <vt:i4>5</vt:i4>
      </vt:variant>
      <vt:variant>
        <vt:lpwstr/>
      </vt:variant>
      <vt:variant>
        <vt:lpwstr>_Toc51860386</vt:lpwstr>
      </vt:variant>
      <vt:variant>
        <vt:i4>1441845</vt:i4>
      </vt:variant>
      <vt:variant>
        <vt:i4>1364</vt:i4>
      </vt:variant>
      <vt:variant>
        <vt:i4>0</vt:i4>
      </vt:variant>
      <vt:variant>
        <vt:i4>5</vt:i4>
      </vt:variant>
      <vt:variant>
        <vt:lpwstr/>
      </vt:variant>
      <vt:variant>
        <vt:lpwstr>_Toc51860385</vt:lpwstr>
      </vt:variant>
      <vt:variant>
        <vt:i4>1507381</vt:i4>
      </vt:variant>
      <vt:variant>
        <vt:i4>1358</vt:i4>
      </vt:variant>
      <vt:variant>
        <vt:i4>0</vt:i4>
      </vt:variant>
      <vt:variant>
        <vt:i4>5</vt:i4>
      </vt:variant>
      <vt:variant>
        <vt:lpwstr/>
      </vt:variant>
      <vt:variant>
        <vt:lpwstr>_Toc51860384</vt:lpwstr>
      </vt:variant>
      <vt:variant>
        <vt:i4>1048629</vt:i4>
      </vt:variant>
      <vt:variant>
        <vt:i4>1352</vt:i4>
      </vt:variant>
      <vt:variant>
        <vt:i4>0</vt:i4>
      </vt:variant>
      <vt:variant>
        <vt:i4>5</vt:i4>
      </vt:variant>
      <vt:variant>
        <vt:lpwstr/>
      </vt:variant>
      <vt:variant>
        <vt:lpwstr>_Toc51860383</vt:lpwstr>
      </vt:variant>
      <vt:variant>
        <vt:i4>1114165</vt:i4>
      </vt:variant>
      <vt:variant>
        <vt:i4>1346</vt:i4>
      </vt:variant>
      <vt:variant>
        <vt:i4>0</vt:i4>
      </vt:variant>
      <vt:variant>
        <vt:i4>5</vt:i4>
      </vt:variant>
      <vt:variant>
        <vt:lpwstr/>
      </vt:variant>
      <vt:variant>
        <vt:lpwstr>_Toc51860382</vt:lpwstr>
      </vt:variant>
      <vt:variant>
        <vt:i4>1179701</vt:i4>
      </vt:variant>
      <vt:variant>
        <vt:i4>1340</vt:i4>
      </vt:variant>
      <vt:variant>
        <vt:i4>0</vt:i4>
      </vt:variant>
      <vt:variant>
        <vt:i4>5</vt:i4>
      </vt:variant>
      <vt:variant>
        <vt:lpwstr/>
      </vt:variant>
      <vt:variant>
        <vt:lpwstr>_Toc51860381</vt:lpwstr>
      </vt:variant>
      <vt:variant>
        <vt:i4>1245237</vt:i4>
      </vt:variant>
      <vt:variant>
        <vt:i4>1334</vt:i4>
      </vt:variant>
      <vt:variant>
        <vt:i4>0</vt:i4>
      </vt:variant>
      <vt:variant>
        <vt:i4>5</vt:i4>
      </vt:variant>
      <vt:variant>
        <vt:lpwstr/>
      </vt:variant>
      <vt:variant>
        <vt:lpwstr>_Toc51860380</vt:lpwstr>
      </vt:variant>
      <vt:variant>
        <vt:i4>1703994</vt:i4>
      </vt:variant>
      <vt:variant>
        <vt:i4>1328</vt:i4>
      </vt:variant>
      <vt:variant>
        <vt:i4>0</vt:i4>
      </vt:variant>
      <vt:variant>
        <vt:i4>5</vt:i4>
      </vt:variant>
      <vt:variant>
        <vt:lpwstr/>
      </vt:variant>
      <vt:variant>
        <vt:lpwstr>_Toc51860379</vt:lpwstr>
      </vt:variant>
      <vt:variant>
        <vt:i4>1769530</vt:i4>
      </vt:variant>
      <vt:variant>
        <vt:i4>1322</vt:i4>
      </vt:variant>
      <vt:variant>
        <vt:i4>0</vt:i4>
      </vt:variant>
      <vt:variant>
        <vt:i4>5</vt:i4>
      </vt:variant>
      <vt:variant>
        <vt:lpwstr/>
      </vt:variant>
      <vt:variant>
        <vt:lpwstr>_Toc51860378</vt:lpwstr>
      </vt:variant>
      <vt:variant>
        <vt:i4>1310778</vt:i4>
      </vt:variant>
      <vt:variant>
        <vt:i4>1316</vt:i4>
      </vt:variant>
      <vt:variant>
        <vt:i4>0</vt:i4>
      </vt:variant>
      <vt:variant>
        <vt:i4>5</vt:i4>
      </vt:variant>
      <vt:variant>
        <vt:lpwstr/>
      </vt:variant>
      <vt:variant>
        <vt:lpwstr>_Toc51860377</vt:lpwstr>
      </vt:variant>
      <vt:variant>
        <vt:i4>1376314</vt:i4>
      </vt:variant>
      <vt:variant>
        <vt:i4>1310</vt:i4>
      </vt:variant>
      <vt:variant>
        <vt:i4>0</vt:i4>
      </vt:variant>
      <vt:variant>
        <vt:i4>5</vt:i4>
      </vt:variant>
      <vt:variant>
        <vt:lpwstr/>
      </vt:variant>
      <vt:variant>
        <vt:lpwstr>_Toc51860376</vt:lpwstr>
      </vt:variant>
      <vt:variant>
        <vt:i4>1441850</vt:i4>
      </vt:variant>
      <vt:variant>
        <vt:i4>1304</vt:i4>
      </vt:variant>
      <vt:variant>
        <vt:i4>0</vt:i4>
      </vt:variant>
      <vt:variant>
        <vt:i4>5</vt:i4>
      </vt:variant>
      <vt:variant>
        <vt:lpwstr/>
      </vt:variant>
      <vt:variant>
        <vt:lpwstr>_Toc51860375</vt:lpwstr>
      </vt:variant>
      <vt:variant>
        <vt:i4>1507386</vt:i4>
      </vt:variant>
      <vt:variant>
        <vt:i4>1298</vt:i4>
      </vt:variant>
      <vt:variant>
        <vt:i4>0</vt:i4>
      </vt:variant>
      <vt:variant>
        <vt:i4>5</vt:i4>
      </vt:variant>
      <vt:variant>
        <vt:lpwstr/>
      </vt:variant>
      <vt:variant>
        <vt:lpwstr>_Toc51860374</vt:lpwstr>
      </vt:variant>
      <vt:variant>
        <vt:i4>1048634</vt:i4>
      </vt:variant>
      <vt:variant>
        <vt:i4>1292</vt:i4>
      </vt:variant>
      <vt:variant>
        <vt:i4>0</vt:i4>
      </vt:variant>
      <vt:variant>
        <vt:i4>5</vt:i4>
      </vt:variant>
      <vt:variant>
        <vt:lpwstr/>
      </vt:variant>
      <vt:variant>
        <vt:lpwstr>_Toc51860373</vt:lpwstr>
      </vt:variant>
      <vt:variant>
        <vt:i4>1114170</vt:i4>
      </vt:variant>
      <vt:variant>
        <vt:i4>1286</vt:i4>
      </vt:variant>
      <vt:variant>
        <vt:i4>0</vt:i4>
      </vt:variant>
      <vt:variant>
        <vt:i4>5</vt:i4>
      </vt:variant>
      <vt:variant>
        <vt:lpwstr/>
      </vt:variant>
      <vt:variant>
        <vt:lpwstr>_Toc51860372</vt:lpwstr>
      </vt:variant>
      <vt:variant>
        <vt:i4>1179706</vt:i4>
      </vt:variant>
      <vt:variant>
        <vt:i4>1280</vt:i4>
      </vt:variant>
      <vt:variant>
        <vt:i4>0</vt:i4>
      </vt:variant>
      <vt:variant>
        <vt:i4>5</vt:i4>
      </vt:variant>
      <vt:variant>
        <vt:lpwstr/>
      </vt:variant>
      <vt:variant>
        <vt:lpwstr>_Toc51860371</vt:lpwstr>
      </vt:variant>
      <vt:variant>
        <vt:i4>1245242</vt:i4>
      </vt:variant>
      <vt:variant>
        <vt:i4>1274</vt:i4>
      </vt:variant>
      <vt:variant>
        <vt:i4>0</vt:i4>
      </vt:variant>
      <vt:variant>
        <vt:i4>5</vt:i4>
      </vt:variant>
      <vt:variant>
        <vt:lpwstr/>
      </vt:variant>
      <vt:variant>
        <vt:lpwstr>_Toc51860370</vt:lpwstr>
      </vt:variant>
      <vt:variant>
        <vt:i4>1703995</vt:i4>
      </vt:variant>
      <vt:variant>
        <vt:i4>1268</vt:i4>
      </vt:variant>
      <vt:variant>
        <vt:i4>0</vt:i4>
      </vt:variant>
      <vt:variant>
        <vt:i4>5</vt:i4>
      </vt:variant>
      <vt:variant>
        <vt:lpwstr/>
      </vt:variant>
      <vt:variant>
        <vt:lpwstr>_Toc51860369</vt:lpwstr>
      </vt:variant>
      <vt:variant>
        <vt:i4>1769531</vt:i4>
      </vt:variant>
      <vt:variant>
        <vt:i4>1262</vt:i4>
      </vt:variant>
      <vt:variant>
        <vt:i4>0</vt:i4>
      </vt:variant>
      <vt:variant>
        <vt:i4>5</vt:i4>
      </vt:variant>
      <vt:variant>
        <vt:lpwstr/>
      </vt:variant>
      <vt:variant>
        <vt:lpwstr>_Toc51860368</vt:lpwstr>
      </vt:variant>
      <vt:variant>
        <vt:i4>1310779</vt:i4>
      </vt:variant>
      <vt:variant>
        <vt:i4>1256</vt:i4>
      </vt:variant>
      <vt:variant>
        <vt:i4>0</vt:i4>
      </vt:variant>
      <vt:variant>
        <vt:i4>5</vt:i4>
      </vt:variant>
      <vt:variant>
        <vt:lpwstr/>
      </vt:variant>
      <vt:variant>
        <vt:lpwstr>_Toc51860367</vt:lpwstr>
      </vt:variant>
      <vt:variant>
        <vt:i4>1376315</vt:i4>
      </vt:variant>
      <vt:variant>
        <vt:i4>1250</vt:i4>
      </vt:variant>
      <vt:variant>
        <vt:i4>0</vt:i4>
      </vt:variant>
      <vt:variant>
        <vt:i4>5</vt:i4>
      </vt:variant>
      <vt:variant>
        <vt:lpwstr/>
      </vt:variant>
      <vt:variant>
        <vt:lpwstr>_Toc51860366</vt:lpwstr>
      </vt:variant>
      <vt:variant>
        <vt:i4>1441851</vt:i4>
      </vt:variant>
      <vt:variant>
        <vt:i4>1244</vt:i4>
      </vt:variant>
      <vt:variant>
        <vt:i4>0</vt:i4>
      </vt:variant>
      <vt:variant>
        <vt:i4>5</vt:i4>
      </vt:variant>
      <vt:variant>
        <vt:lpwstr/>
      </vt:variant>
      <vt:variant>
        <vt:lpwstr>_Toc51860365</vt:lpwstr>
      </vt:variant>
      <vt:variant>
        <vt:i4>1507387</vt:i4>
      </vt:variant>
      <vt:variant>
        <vt:i4>1238</vt:i4>
      </vt:variant>
      <vt:variant>
        <vt:i4>0</vt:i4>
      </vt:variant>
      <vt:variant>
        <vt:i4>5</vt:i4>
      </vt:variant>
      <vt:variant>
        <vt:lpwstr/>
      </vt:variant>
      <vt:variant>
        <vt:lpwstr>_Toc51860364</vt:lpwstr>
      </vt:variant>
      <vt:variant>
        <vt:i4>1048635</vt:i4>
      </vt:variant>
      <vt:variant>
        <vt:i4>1232</vt:i4>
      </vt:variant>
      <vt:variant>
        <vt:i4>0</vt:i4>
      </vt:variant>
      <vt:variant>
        <vt:i4>5</vt:i4>
      </vt:variant>
      <vt:variant>
        <vt:lpwstr/>
      </vt:variant>
      <vt:variant>
        <vt:lpwstr>_Toc51860363</vt:lpwstr>
      </vt:variant>
      <vt:variant>
        <vt:i4>1114171</vt:i4>
      </vt:variant>
      <vt:variant>
        <vt:i4>1226</vt:i4>
      </vt:variant>
      <vt:variant>
        <vt:i4>0</vt:i4>
      </vt:variant>
      <vt:variant>
        <vt:i4>5</vt:i4>
      </vt:variant>
      <vt:variant>
        <vt:lpwstr/>
      </vt:variant>
      <vt:variant>
        <vt:lpwstr>_Toc51860362</vt:lpwstr>
      </vt:variant>
      <vt:variant>
        <vt:i4>1179707</vt:i4>
      </vt:variant>
      <vt:variant>
        <vt:i4>1220</vt:i4>
      </vt:variant>
      <vt:variant>
        <vt:i4>0</vt:i4>
      </vt:variant>
      <vt:variant>
        <vt:i4>5</vt:i4>
      </vt:variant>
      <vt:variant>
        <vt:lpwstr/>
      </vt:variant>
      <vt:variant>
        <vt:lpwstr>_Toc51860361</vt:lpwstr>
      </vt:variant>
      <vt:variant>
        <vt:i4>1245243</vt:i4>
      </vt:variant>
      <vt:variant>
        <vt:i4>1214</vt:i4>
      </vt:variant>
      <vt:variant>
        <vt:i4>0</vt:i4>
      </vt:variant>
      <vt:variant>
        <vt:i4>5</vt:i4>
      </vt:variant>
      <vt:variant>
        <vt:lpwstr/>
      </vt:variant>
      <vt:variant>
        <vt:lpwstr>_Toc51860360</vt:lpwstr>
      </vt:variant>
      <vt:variant>
        <vt:i4>1703992</vt:i4>
      </vt:variant>
      <vt:variant>
        <vt:i4>1208</vt:i4>
      </vt:variant>
      <vt:variant>
        <vt:i4>0</vt:i4>
      </vt:variant>
      <vt:variant>
        <vt:i4>5</vt:i4>
      </vt:variant>
      <vt:variant>
        <vt:lpwstr/>
      </vt:variant>
      <vt:variant>
        <vt:lpwstr>_Toc51860359</vt:lpwstr>
      </vt:variant>
      <vt:variant>
        <vt:i4>1769528</vt:i4>
      </vt:variant>
      <vt:variant>
        <vt:i4>1202</vt:i4>
      </vt:variant>
      <vt:variant>
        <vt:i4>0</vt:i4>
      </vt:variant>
      <vt:variant>
        <vt:i4>5</vt:i4>
      </vt:variant>
      <vt:variant>
        <vt:lpwstr/>
      </vt:variant>
      <vt:variant>
        <vt:lpwstr>_Toc51860358</vt:lpwstr>
      </vt:variant>
      <vt:variant>
        <vt:i4>1310776</vt:i4>
      </vt:variant>
      <vt:variant>
        <vt:i4>1196</vt:i4>
      </vt:variant>
      <vt:variant>
        <vt:i4>0</vt:i4>
      </vt:variant>
      <vt:variant>
        <vt:i4>5</vt:i4>
      </vt:variant>
      <vt:variant>
        <vt:lpwstr/>
      </vt:variant>
      <vt:variant>
        <vt:lpwstr>_Toc51860357</vt:lpwstr>
      </vt:variant>
      <vt:variant>
        <vt:i4>1376312</vt:i4>
      </vt:variant>
      <vt:variant>
        <vt:i4>1190</vt:i4>
      </vt:variant>
      <vt:variant>
        <vt:i4>0</vt:i4>
      </vt:variant>
      <vt:variant>
        <vt:i4>5</vt:i4>
      </vt:variant>
      <vt:variant>
        <vt:lpwstr/>
      </vt:variant>
      <vt:variant>
        <vt:lpwstr>_Toc51860356</vt:lpwstr>
      </vt:variant>
      <vt:variant>
        <vt:i4>1441848</vt:i4>
      </vt:variant>
      <vt:variant>
        <vt:i4>1184</vt:i4>
      </vt:variant>
      <vt:variant>
        <vt:i4>0</vt:i4>
      </vt:variant>
      <vt:variant>
        <vt:i4>5</vt:i4>
      </vt:variant>
      <vt:variant>
        <vt:lpwstr/>
      </vt:variant>
      <vt:variant>
        <vt:lpwstr>_Toc51860355</vt:lpwstr>
      </vt:variant>
      <vt:variant>
        <vt:i4>1507384</vt:i4>
      </vt:variant>
      <vt:variant>
        <vt:i4>1178</vt:i4>
      </vt:variant>
      <vt:variant>
        <vt:i4>0</vt:i4>
      </vt:variant>
      <vt:variant>
        <vt:i4>5</vt:i4>
      </vt:variant>
      <vt:variant>
        <vt:lpwstr/>
      </vt:variant>
      <vt:variant>
        <vt:lpwstr>_Toc51860354</vt:lpwstr>
      </vt:variant>
      <vt:variant>
        <vt:i4>1048632</vt:i4>
      </vt:variant>
      <vt:variant>
        <vt:i4>1172</vt:i4>
      </vt:variant>
      <vt:variant>
        <vt:i4>0</vt:i4>
      </vt:variant>
      <vt:variant>
        <vt:i4>5</vt:i4>
      </vt:variant>
      <vt:variant>
        <vt:lpwstr/>
      </vt:variant>
      <vt:variant>
        <vt:lpwstr>_Toc51860353</vt:lpwstr>
      </vt:variant>
      <vt:variant>
        <vt:i4>1114168</vt:i4>
      </vt:variant>
      <vt:variant>
        <vt:i4>1166</vt:i4>
      </vt:variant>
      <vt:variant>
        <vt:i4>0</vt:i4>
      </vt:variant>
      <vt:variant>
        <vt:i4>5</vt:i4>
      </vt:variant>
      <vt:variant>
        <vt:lpwstr/>
      </vt:variant>
      <vt:variant>
        <vt:lpwstr>_Toc51860352</vt:lpwstr>
      </vt:variant>
      <vt:variant>
        <vt:i4>1179704</vt:i4>
      </vt:variant>
      <vt:variant>
        <vt:i4>1160</vt:i4>
      </vt:variant>
      <vt:variant>
        <vt:i4>0</vt:i4>
      </vt:variant>
      <vt:variant>
        <vt:i4>5</vt:i4>
      </vt:variant>
      <vt:variant>
        <vt:lpwstr/>
      </vt:variant>
      <vt:variant>
        <vt:lpwstr>_Toc51860351</vt:lpwstr>
      </vt:variant>
      <vt:variant>
        <vt:i4>1245240</vt:i4>
      </vt:variant>
      <vt:variant>
        <vt:i4>1154</vt:i4>
      </vt:variant>
      <vt:variant>
        <vt:i4>0</vt:i4>
      </vt:variant>
      <vt:variant>
        <vt:i4>5</vt:i4>
      </vt:variant>
      <vt:variant>
        <vt:lpwstr/>
      </vt:variant>
      <vt:variant>
        <vt:lpwstr>_Toc51860350</vt:lpwstr>
      </vt:variant>
      <vt:variant>
        <vt:i4>1703993</vt:i4>
      </vt:variant>
      <vt:variant>
        <vt:i4>1148</vt:i4>
      </vt:variant>
      <vt:variant>
        <vt:i4>0</vt:i4>
      </vt:variant>
      <vt:variant>
        <vt:i4>5</vt:i4>
      </vt:variant>
      <vt:variant>
        <vt:lpwstr/>
      </vt:variant>
      <vt:variant>
        <vt:lpwstr>_Toc51860349</vt:lpwstr>
      </vt:variant>
      <vt:variant>
        <vt:i4>1769529</vt:i4>
      </vt:variant>
      <vt:variant>
        <vt:i4>1142</vt:i4>
      </vt:variant>
      <vt:variant>
        <vt:i4>0</vt:i4>
      </vt:variant>
      <vt:variant>
        <vt:i4>5</vt:i4>
      </vt:variant>
      <vt:variant>
        <vt:lpwstr/>
      </vt:variant>
      <vt:variant>
        <vt:lpwstr>_Toc51860348</vt:lpwstr>
      </vt:variant>
      <vt:variant>
        <vt:i4>1310777</vt:i4>
      </vt:variant>
      <vt:variant>
        <vt:i4>1136</vt:i4>
      </vt:variant>
      <vt:variant>
        <vt:i4>0</vt:i4>
      </vt:variant>
      <vt:variant>
        <vt:i4>5</vt:i4>
      </vt:variant>
      <vt:variant>
        <vt:lpwstr/>
      </vt:variant>
      <vt:variant>
        <vt:lpwstr>_Toc51860347</vt:lpwstr>
      </vt:variant>
      <vt:variant>
        <vt:i4>1376313</vt:i4>
      </vt:variant>
      <vt:variant>
        <vt:i4>1130</vt:i4>
      </vt:variant>
      <vt:variant>
        <vt:i4>0</vt:i4>
      </vt:variant>
      <vt:variant>
        <vt:i4>5</vt:i4>
      </vt:variant>
      <vt:variant>
        <vt:lpwstr/>
      </vt:variant>
      <vt:variant>
        <vt:lpwstr>_Toc51860346</vt:lpwstr>
      </vt:variant>
      <vt:variant>
        <vt:i4>1441849</vt:i4>
      </vt:variant>
      <vt:variant>
        <vt:i4>1124</vt:i4>
      </vt:variant>
      <vt:variant>
        <vt:i4>0</vt:i4>
      </vt:variant>
      <vt:variant>
        <vt:i4>5</vt:i4>
      </vt:variant>
      <vt:variant>
        <vt:lpwstr/>
      </vt:variant>
      <vt:variant>
        <vt:lpwstr>_Toc51860345</vt:lpwstr>
      </vt:variant>
      <vt:variant>
        <vt:i4>1507385</vt:i4>
      </vt:variant>
      <vt:variant>
        <vt:i4>1118</vt:i4>
      </vt:variant>
      <vt:variant>
        <vt:i4>0</vt:i4>
      </vt:variant>
      <vt:variant>
        <vt:i4>5</vt:i4>
      </vt:variant>
      <vt:variant>
        <vt:lpwstr/>
      </vt:variant>
      <vt:variant>
        <vt:lpwstr>_Toc51860344</vt:lpwstr>
      </vt:variant>
      <vt:variant>
        <vt:i4>1048633</vt:i4>
      </vt:variant>
      <vt:variant>
        <vt:i4>1112</vt:i4>
      </vt:variant>
      <vt:variant>
        <vt:i4>0</vt:i4>
      </vt:variant>
      <vt:variant>
        <vt:i4>5</vt:i4>
      </vt:variant>
      <vt:variant>
        <vt:lpwstr/>
      </vt:variant>
      <vt:variant>
        <vt:lpwstr>_Toc51860343</vt:lpwstr>
      </vt:variant>
      <vt:variant>
        <vt:i4>1114169</vt:i4>
      </vt:variant>
      <vt:variant>
        <vt:i4>1106</vt:i4>
      </vt:variant>
      <vt:variant>
        <vt:i4>0</vt:i4>
      </vt:variant>
      <vt:variant>
        <vt:i4>5</vt:i4>
      </vt:variant>
      <vt:variant>
        <vt:lpwstr/>
      </vt:variant>
      <vt:variant>
        <vt:lpwstr>_Toc51860342</vt:lpwstr>
      </vt:variant>
      <vt:variant>
        <vt:i4>1179705</vt:i4>
      </vt:variant>
      <vt:variant>
        <vt:i4>1100</vt:i4>
      </vt:variant>
      <vt:variant>
        <vt:i4>0</vt:i4>
      </vt:variant>
      <vt:variant>
        <vt:i4>5</vt:i4>
      </vt:variant>
      <vt:variant>
        <vt:lpwstr/>
      </vt:variant>
      <vt:variant>
        <vt:lpwstr>_Toc51860341</vt:lpwstr>
      </vt:variant>
      <vt:variant>
        <vt:i4>1245241</vt:i4>
      </vt:variant>
      <vt:variant>
        <vt:i4>1094</vt:i4>
      </vt:variant>
      <vt:variant>
        <vt:i4>0</vt:i4>
      </vt:variant>
      <vt:variant>
        <vt:i4>5</vt:i4>
      </vt:variant>
      <vt:variant>
        <vt:lpwstr/>
      </vt:variant>
      <vt:variant>
        <vt:lpwstr>_Toc51860340</vt:lpwstr>
      </vt:variant>
      <vt:variant>
        <vt:i4>1703998</vt:i4>
      </vt:variant>
      <vt:variant>
        <vt:i4>1088</vt:i4>
      </vt:variant>
      <vt:variant>
        <vt:i4>0</vt:i4>
      </vt:variant>
      <vt:variant>
        <vt:i4>5</vt:i4>
      </vt:variant>
      <vt:variant>
        <vt:lpwstr/>
      </vt:variant>
      <vt:variant>
        <vt:lpwstr>_Toc51860339</vt:lpwstr>
      </vt:variant>
      <vt:variant>
        <vt:i4>1769534</vt:i4>
      </vt:variant>
      <vt:variant>
        <vt:i4>1082</vt:i4>
      </vt:variant>
      <vt:variant>
        <vt:i4>0</vt:i4>
      </vt:variant>
      <vt:variant>
        <vt:i4>5</vt:i4>
      </vt:variant>
      <vt:variant>
        <vt:lpwstr/>
      </vt:variant>
      <vt:variant>
        <vt:lpwstr>_Toc51860338</vt:lpwstr>
      </vt:variant>
      <vt:variant>
        <vt:i4>1310782</vt:i4>
      </vt:variant>
      <vt:variant>
        <vt:i4>1076</vt:i4>
      </vt:variant>
      <vt:variant>
        <vt:i4>0</vt:i4>
      </vt:variant>
      <vt:variant>
        <vt:i4>5</vt:i4>
      </vt:variant>
      <vt:variant>
        <vt:lpwstr/>
      </vt:variant>
      <vt:variant>
        <vt:lpwstr>_Toc51860337</vt:lpwstr>
      </vt:variant>
      <vt:variant>
        <vt:i4>1376318</vt:i4>
      </vt:variant>
      <vt:variant>
        <vt:i4>1070</vt:i4>
      </vt:variant>
      <vt:variant>
        <vt:i4>0</vt:i4>
      </vt:variant>
      <vt:variant>
        <vt:i4>5</vt:i4>
      </vt:variant>
      <vt:variant>
        <vt:lpwstr/>
      </vt:variant>
      <vt:variant>
        <vt:lpwstr>_Toc51860336</vt:lpwstr>
      </vt:variant>
      <vt:variant>
        <vt:i4>1441854</vt:i4>
      </vt:variant>
      <vt:variant>
        <vt:i4>1064</vt:i4>
      </vt:variant>
      <vt:variant>
        <vt:i4>0</vt:i4>
      </vt:variant>
      <vt:variant>
        <vt:i4>5</vt:i4>
      </vt:variant>
      <vt:variant>
        <vt:lpwstr/>
      </vt:variant>
      <vt:variant>
        <vt:lpwstr>_Toc51860335</vt:lpwstr>
      </vt:variant>
      <vt:variant>
        <vt:i4>1507390</vt:i4>
      </vt:variant>
      <vt:variant>
        <vt:i4>1058</vt:i4>
      </vt:variant>
      <vt:variant>
        <vt:i4>0</vt:i4>
      </vt:variant>
      <vt:variant>
        <vt:i4>5</vt:i4>
      </vt:variant>
      <vt:variant>
        <vt:lpwstr/>
      </vt:variant>
      <vt:variant>
        <vt:lpwstr>_Toc51860334</vt:lpwstr>
      </vt:variant>
      <vt:variant>
        <vt:i4>1048638</vt:i4>
      </vt:variant>
      <vt:variant>
        <vt:i4>1052</vt:i4>
      </vt:variant>
      <vt:variant>
        <vt:i4>0</vt:i4>
      </vt:variant>
      <vt:variant>
        <vt:i4>5</vt:i4>
      </vt:variant>
      <vt:variant>
        <vt:lpwstr/>
      </vt:variant>
      <vt:variant>
        <vt:lpwstr>_Toc51860333</vt:lpwstr>
      </vt:variant>
      <vt:variant>
        <vt:i4>1114174</vt:i4>
      </vt:variant>
      <vt:variant>
        <vt:i4>1046</vt:i4>
      </vt:variant>
      <vt:variant>
        <vt:i4>0</vt:i4>
      </vt:variant>
      <vt:variant>
        <vt:i4>5</vt:i4>
      </vt:variant>
      <vt:variant>
        <vt:lpwstr/>
      </vt:variant>
      <vt:variant>
        <vt:lpwstr>_Toc51860332</vt:lpwstr>
      </vt:variant>
      <vt:variant>
        <vt:i4>1179710</vt:i4>
      </vt:variant>
      <vt:variant>
        <vt:i4>1040</vt:i4>
      </vt:variant>
      <vt:variant>
        <vt:i4>0</vt:i4>
      </vt:variant>
      <vt:variant>
        <vt:i4>5</vt:i4>
      </vt:variant>
      <vt:variant>
        <vt:lpwstr/>
      </vt:variant>
      <vt:variant>
        <vt:lpwstr>_Toc51860331</vt:lpwstr>
      </vt:variant>
      <vt:variant>
        <vt:i4>1245246</vt:i4>
      </vt:variant>
      <vt:variant>
        <vt:i4>1034</vt:i4>
      </vt:variant>
      <vt:variant>
        <vt:i4>0</vt:i4>
      </vt:variant>
      <vt:variant>
        <vt:i4>5</vt:i4>
      </vt:variant>
      <vt:variant>
        <vt:lpwstr/>
      </vt:variant>
      <vt:variant>
        <vt:lpwstr>_Toc51860330</vt:lpwstr>
      </vt:variant>
      <vt:variant>
        <vt:i4>1703999</vt:i4>
      </vt:variant>
      <vt:variant>
        <vt:i4>1028</vt:i4>
      </vt:variant>
      <vt:variant>
        <vt:i4>0</vt:i4>
      </vt:variant>
      <vt:variant>
        <vt:i4>5</vt:i4>
      </vt:variant>
      <vt:variant>
        <vt:lpwstr/>
      </vt:variant>
      <vt:variant>
        <vt:lpwstr>_Toc51860329</vt:lpwstr>
      </vt:variant>
      <vt:variant>
        <vt:i4>1769535</vt:i4>
      </vt:variant>
      <vt:variant>
        <vt:i4>1022</vt:i4>
      </vt:variant>
      <vt:variant>
        <vt:i4>0</vt:i4>
      </vt:variant>
      <vt:variant>
        <vt:i4>5</vt:i4>
      </vt:variant>
      <vt:variant>
        <vt:lpwstr/>
      </vt:variant>
      <vt:variant>
        <vt:lpwstr>_Toc51860328</vt:lpwstr>
      </vt:variant>
      <vt:variant>
        <vt:i4>1310783</vt:i4>
      </vt:variant>
      <vt:variant>
        <vt:i4>1016</vt:i4>
      </vt:variant>
      <vt:variant>
        <vt:i4>0</vt:i4>
      </vt:variant>
      <vt:variant>
        <vt:i4>5</vt:i4>
      </vt:variant>
      <vt:variant>
        <vt:lpwstr/>
      </vt:variant>
      <vt:variant>
        <vt:lpwstr>_Toc51860327</vt:lpwstr>
      </vt:variant>
      <vt:variant>
        <vt:i4>1376319</vt:i4>
      </vt:variant>
      <vt:variant>
        <vt:i4>1010</vt:i4>
      </vt:variant>
      <vt:variant>
        <vt:i4>0</vt:i4>
      </vt:variant>
      <vt:variant>
        <vt:i4>5</vt:i4>
      </vt:variant>
      <vt:variant>
        <vt:lpwstr/>
      </vt:variant>
      <vt:variant>
        <vt:lpwstr>_Toc51860326</vt:lpwstr>
      </vt:variant>
      <vt:variant>
        <vt:i4>1441855</vt:i4>
      </vt:variant>
      <vt:variant>
        <vt:i4>1004</vt:i4>
      </vt:variant>
      <vt:variant>
        <vt:i4>0</vt:i4>
      </vt:variant>
      <vt:variant>
        <vt:i4>5</vt:i4>
      </vt:variant>
      <vt:variant>
        <vt:lpwstr/>
      </vt:variant>
      <vt:variant>
        <vt:lpwstr>_Toc51860325</vt:lpwstr>
      </vt:variant>
      <vt:variant>
        <vt:i4>1507391</vt:i4>
      </vt:variant>
      <vt:variant>
        <vt:i4>998</vt:i4>
      </vt:variant>
      <vt:variant>
        <vt:i4>0</vt:i4>
      </vt:variant>
      <vt:variant>
        <vt:i4>5</vt:i4>
      </vt:variant>
      <vt:variant>
        <vt:lpwstr/>
      </vt:variant>
      <vt:variant>
        <vt:lpwstr>_Toc51860324</vt:lpwstr>
      </vt:variant>
      <vt:variant>
        <vt:i4>1048639</vt:i4>
      </vt:variant>
      <vt:variant>
        <vt:i4>992</vt:i4>
      </vt:variant>
      <vt:variant>
        <vt:i4>0</vt:i4>
      </vt:variant>
      <vt:variant>
        <vt:i4>5</vt:i4>
      </vt:variant>
      <vt:variant>
        <vt:lpwstr/>
      </vt:variant>
      <vt:variant>
        <vt:lpwstr>_Toc51860323</vt:lpwstr>
      </vt:variant>
      <vt:variant>
        <vt:i4>1114175</vt:i4>
      </vt:variant>
      <vt:variant>
        <vt:i4>986</vt:i4>
      </vt:variant>
      <vt:variant>
        <vt:i4>0</vt:i4>
      </vt:variant>
      <vt:variant>
        <vt:i4>5</vt:i4>
      </vt:variant>
      <vt:variant>
        <vt:lpwstr/>
      </vt:variant>
      <vt:variant>
        <vt:lpwstr>_Toc51860322</vt:lpwstr>
      </vt:variant>
      <vt:variant>
        <vt:i4>1179711</vt:i4>
      </vt:variant>
      <vt:variant>
        <vt:i4>980</vt:i4>
      </vt:variant>
      <vt:variant>
        <vt:i4>0</vt:i4>
      </vt:variant>
      <vt:variant>
        <vt:i4>5</vt:i4>
      </vt:variant>
      <vt:variant>
        <vt:lpwstr/>
      </vt:variant>
      <vt:variant>
        <vt:lpwstr>_Toc51860321</vt:lpwstr>
      </vt:variant>
      <vt:variant>
        <vt:i4>1245247</vt:i4>
      </vt:variant>
      <vt:variant>
        <vt:i4>974</vt:i4>
      </vt:variant>
      <vt:variant>
        <vt:i4>0</vt:i4>
      </vt:variant>
      <vt:variant>
        <vt:i4>5</vt:i4>
      </vt:variant>
      <vt:variant>
        <vt:lpwstr/>
      </vt:variant>
      <vt:variant>
        <vt:lpwstr>_Toc51860320</vt:lpwstr>
      </vt:variant>
      <vt:variant>
        <vt:i4>1703996</vt:i4>
      </vt:variant>
      <vt:variant>
        <vt:i4>968</vt:i4>
      </vt:variant>
      <vt:variant>
        <vt:i4>0</vt:i4>
      </vt:variant>
      <vt:variant>
        <vt:i4>5</vt:i4>
      </vt:variant>
      <vt:variant>
        <vt:lpwstr/>
      </vt:variant>
      <vt:variant>
        <vt:lpwstr>_Toc51860319</vt:lpwstr>
      </vt:variant>
      <vt:variant>
        <vt:i4>1769532</vt:i4>
      </vt:variant>
      <vt:variant>
        <vt:i4>962</vt:i4>
      </vt:variant>
      <vt:variant>
        <vt:i4>0</vt:i4>
      </vt:variant>
      <vt:variant>
        <vt:i4>5</vt:i4>
      </vt:variant>
      <vt:variant>
        <vt:lpwstr/>
      </vt:variant>
      <vt:variant>
        <vt:lpwstr>_Toc51860318</vt:lpwstr>
      </vt:variant>
      <vt:variant>
        <vt:i4>1310780</vt:i4>
      </vt:variant>
      <vt:variant>
        <vt:i4>956</vt:i4>
      </vt:variant>
      <vt:variant>
        <vt:i4>0</vt:i4>
      </vt:variant>
      <vt:variant>
        <vt:i4>5</vt:i4>
      </vt:variant>
      <vt:variant>
        <vt:lpwstr/>
      </vt:variant>
      <vt:variant>
        <vt:lpwstr>_Toc51860317</vt:lpwstr>
      </vt:variant>
      <vt:variant>
        <vt:i4>1376316</vt:i4>
      </vt:variant>
      <vt:variant>
        <vt:i4>950</vt:i4>
      </vt:variant>
      <vt:variant>
        <vt:i4>0</vt:i4>
      </vt:variant>
      <vt:variant>
        <vt:i4>5</vt:i4>
      </vt:variant>
      <vt:variant>
        <vt:lpwstr/>
      </vt:variant>
      <vt:variant>
        <vt:lpwstr>_Toc51860316</vt:lpwstr>
      </vt:variant>
      <vt:variant>
        <vt:i4>1441852</vt:i4>
      </vt:variant>
      <vt:variant>
        <vt:i4>944</vt:i4>
      </vt:variant>
      <vt:variant>
        <vt:i4>0</vt:i4>
      </vt:variant>
      <vt:variant>
        <vt:i4>5</vt:i4>
      </vt:variant>
      <vt:variant>
        <vt:lpwstr/>
      </vt:variant>
      <vt:variant>
        <vt:lpwstr>_Toc51860315</vt:lpwstr>
      </vt:variant>
      <vt:variant>
        <vt:i4>1507388</vt:i4>
      </vt:variant>
      <vt:variant>
        <vt:i4>938</vt:i4>
      </vt:variant>
      <vt:variant>
        <vt:i4>0</vt:i4>
      </vt:variant>
      <vt:variant>
        <vt:i4>5</vt:i4>
      </vt:variant>
      <vt:variant>
        <vt:lpwstr/>
      </vt:variant>
      <vt:variant>
        <vt:lpwstr>_Toc51860314</vt:lpwstr>
      </vt:variant>
      <vt:variant>
        <vt:i4>1048636</vt:i4>
      </vt:variant>
      <vt:variant>
        <vt:i4>932</vt:i4>
      </vt:variant>
      <vt:variant>
        <vt:i4>0</vt:i4>
      </vt:variant>
      <vt:variant>
        <vt:i4>5</vt:i4>
      </vt:variant>
      <vt:variant>
        <vt:lpwstr/>
      </vt:variant>
      <vt:variant>
        <vt:lpwstr>_Toc51860313</vt:lpwstr>
      </vt:variant>
      <vt:variant>
        <vt:i4>1114172</vt:i4>
      </vt:variant>
      <vt:variant>
        <vt:i4>926</vt:i4>
      </vt:variant>
      <vt:variant>
        <vt:i4>0</vt:i4>
      </vt:variant>
      <vt:variant>
        <vt:i4>5</vt:i4>
      </vt:variant>
      <vt:variant>
        <vt:lpwstr/>
      </vt:variant>
      <vt:variant>
        <vt:lpwstr>_Toc51860312</vt:lpwstr>
      </vt:variant>
      <vt:variant>
        <vt:i4>1179708</vt:i4>
      </vt:variant>
      <vt:variant>
        <vt:i4>920</vt:i4>
      </vt:variant>
      <vt:variant>
        <vt:i4>0</vt:i4>
      </vt:variant>
      <vt:variant>
        <vt:i4>5</vt:i4>
      </vt:variant>
      <vt:variant>
        <vt:lpwstr/>
      </vt:variant>
      <vt:variant>
        <vt:lpwstr>_Toc51860311</vt:lpwstr>
      </vt:variant>
      <vt:variant>
        <vt:i4>1245244</vt:i4>
      </vt:variant>
      <vt:variant>
        <vt:i4>914</vt:i4>
      </vt:variant>
      <vt:variant>
        <vt:i4>0</vt:i4>
      </vt:variant>
      <vt:variant>
        <vt:i4>5</vt:i4>
      </vt:variant>
      <vt:variant>
        <vt:lpwstr/>
      </vt:variant>
      <vt:variant>
        <vt:lpwstr>_Toc51860310</vt:lpwstr>
      </vt:variant>
      <vt:variant>
        <vt:i4>1703997</vt:i4>
      </vt:variant>
      <vt:variant>
        <vt:i4>908</vt:i4>
      </vt:variant>
      <vt:variant>
        <vt:i4>0</vt:i4>
      </vt:variant>
      <vt:variant>
        <vt:i4>5</vt:i4>
      </vt:variant>
      <vt:variant>
        <vt:lpwstr/>
      </vt:variant>
      <vt:variant>
        <vt:lpwstr>_Toc51860309</vt:lpwstr>
      </vt:variant>
      <vt:variant>
        <vt:i4>1769533</vt:i4>
      </vt:variant>
      <vt:variant>
        <vt:i4>902</vt:i4>
      </vt:variant>
      <vt:variant>
        <vt:i4>0</vt:i4>
      </vt:variant>
      <vt:variant>
        <vt:i4>5</vt:i4>
      </vt:variant>
      <vt:variant>
        <vt:lpwstr/>
      </vt:variant>
      <vt:variant>
        <vt:lpwstr>_Toc51860308</vt:lpwstr>
      </vt:variant>
      <vt:variant>
        <vt:i4>1310781</vt:i4>
      </vt:variant>
      <vt:variant>
        <vt:i4>896</vt:i4>
      </vt:variant>
      <vt:variant>
        <vt:i4>0</vt:i4>
      </vt:variant>
      <vt:variant>
        <vt:i4>5</vt:i4>
      </vt:variant>
      <vt:variant>
        <vt:lpwstr/>
      </vt:variant>
      <vt:variant>
        <vt:lpwstr>_Toc51860307</vt:lpwstr>
      </vt:variant>
      <vt:variant>
        <vt:i4>1376317</vt:i4>
      </vt:variant>
      <vt:variant>
        <vt:i4>890</vt:i4>
      </vt:variant>
      <vt:variant>
        <vt:i4>0</vt:i4>
      </vt:variant>
      <vt:variant>
        <vt:i4>5</vt:i4>
      </vt:variant>
      <vt:variant>
        <vt:lpwstr/>
      </vt:variant>
      <vt:variant>
        <vt:lpwstr>_Toc51860306</vt:lpwstr>
      </vt:variant>
      <vt:variant>
        <vt:i4>1441853</vt:i4>
      </vt:variant>
      <vt:variant>
        <vt:i4>884</vt:i4>
      </vt:variant>
      <vt:variant>
        <vt:i4>0</vt:i4>
      </vt:variant>
      <vt:variant>
        <vt:i4>5</vt:i4>
      </vt:variant>
      <vt:variant>
        <vt:lpwstr/>
      </vt:variant>
      <vt:variant>
        <vt:lpwstr>_Toc51860305</vt:lpwstr>
      </vt:variant>
      <vt:variant>
        <vt:i4>1507389</vt:i4>
      </vt:variant>
      <vt:variant>
        <vt:i4>878</vt:i4>
      </vt:variant>
      <vt:variant>
        <vt:i4>0</vt:i4>
      </vt:variant>
      <vt:variant>
        <vt:i4>5</vt:i4>
      </vt:variant>
      <vt:variant>
        <vt:lpwstr/>
      </vt:variant>
      <vt:variant>
        <vt:lpwstr>_Toc51860304</vt:lpwstr>
      </vt:variant>
      <vt:variant>
        <vt:i4>1048637</vt:i4>
      </vt:variant>
      <vt:variant>
        <vt:i4>872</vt:i4>
      </vt:variant>
      <vt:variant>
        <vt:i4>0</vt:i4>
      </vt:variant>
      <vt:variant>
        <vt:i4>5</vt:i4>
      </vt:variant>
      <vt:variant>
        <vt:lpwstr/>
      </vt:variant>
      <vt:variant>
        <vt:lpwstr>_Toc51860303</vt:lpwstr>
      </vt:variant>
      <vt:variant>
        <vt:i4>1114173</vt:i4>
      </vt:variant>
      <vt:variant>
        <vt:i4>866</vt:i4>
      </vt:variant>
      <vt:variant>
        <vt:i4>0</vt:i4>
      </vt:variant>
      <vt:variant>
        <vt:i4>5</vt:i4>
      </vt:variant>
      <vt:variant>
        <vt:lpwstr/>
      </vt:variant>
      <vt:variant>
        <vt:lpwstr>_Toc51860302</vt:lpwstr>
      </vt:variant>
      <vt:variant>
        <vt:i4>1179709</vt:i4>
      </vt:variant>
      <vt:variant>
        <vt:i4>860</vt:i4>
      </vt:variant>
      <vt:variant>
        <vt:i4>0</vt:i4>
      </vt:variant>
      <vt:variant>
        <vt:i4>5</vt:i4>
      </vt:variant>
      <vt:variant>
        <vt:lpwstr/>
      </vt:variant>
      <vt:variant>
        <vt:lpwstr>_Toc51860301</vt:lpwstr>
      </vt:variant>
      <vt:variant>
        <vt:i4>1245245</vt:i4>
      </vt:variant>
      <vt:variant>
        <vt:i4>854</vt:i4>
      </vt:variant>
      <vt:variant>
        <vt:i4>0</vt:i4>
      </vt:variant>
      <vt:variant>
        <vt:i4>5</vt:i4>
      </vt:variant>
      <vt:variant>
        <vt:lpwstr/>
      </vt:variant>
      <vt:variant>
        <vt:lpwstr>_Toc51860300</vt:lpwstr>
      </vt:variant>
      <vt:variant>
        <vt:i4>1769524</vt:i4>
      </vt:variant>
      <vt:variant>
        <vt:i4>848</vt:i4>
      </vt:variant>
      <vt:variant>
        <vt:i4>0</vt:i4>
      </vt:variant>
      <vt:variant>
        <vt:i4>5</vt:i4>
      </vt:variant>
      <vt:variant>
        <vt:lpwstr/>
      </vt:variant>
      <vt:variant>
        <vt:lpwstr>_Toc51860299</vt:lpwstr>
      </vt:variant>
      <vt:variant>
        <vt:i4>1703988</vt:i4>
      </vt:variant>
      <vt:variant>
        <vt:i4>842</vt:i4>
      </vt:variant>
      <vt:variant>
        <vt:i4>0</vt:i4>
      </vt:variant>
      <vt:variant>
        <vt:i4>5</vt:i4>
      </vt:variant>
      <vt:variant>
        <vt:lpwstr/>
      </vt:variant>
      <vt:variant>
        <vt:lpwstr>_Toc51860298</vt:lpwstr>
      </vt:variant>
      <vt:variant>
        <vt:i4>1376308</vt:i4>
      </vt:variant>
      <vt:variant>
        <vt:i4>836</vt:i4>
      </vt:variant>
      <vt:variant>
        <vt:i4>0</vt:i4>
      </vt:variant>
      <vt:variant>
        <vt:i4>5</vt:i4>
      </vt:variant>
      <vt:variant>
        <vt:lpwstr/>
      </vt:variant>
      <vt:variant>
        <vt:lpwstr>_Toc51860297</vt:lpwstr>
      </vt:variant>
      <vt:variant>
        <vt:i4>1310772</vt:i4>
      </vt:variant>
      <vt:variant>
        <vt:i4>830</vt:i4>
      </vt:variant>
      <vt:variant>
        <vt:i4>0</vt:i4>
      </vt:variant>
      <vt:variant>
        <vt:i4>5</vt:i4>
      </vt:variant>
      <vt:variant>
        <vt:lpwstr/>
      </vt:variant>
      <vt:variant>
        <vt:lpwstr>_Toc51860296</vt:lpwstr>
      </vt:variant>
      <vt:variant>
        <vt:i4>1507380</vt:i4>
      </vt:variant>
      <vt:variant>
        <vt:i4>824</vt:i4>
      </vt:variant>
      <vt:variant>
        <vt:i4>0</vt:i4>
      </vt:variant>
      <vt:variant>
        <vt:i4>5</vt:i4>
      </vt:variant>
      <vt:variant>
        <vt:lpwstr/>
      </vt:variant>
      <vt:variant>
        <vt:lpwstr>_Toc51860295</vt:lpwstr>
      </vt:variant>
      <vt:variant>
        <vt:i4>1441844</vt:i4>
      </vt:variant>
      <vt:variant>
        <vt:i4>818</vt:i4>
      </vt:variant>
      <vt:variant>
        <vt:i4>0</vt:i4>
      </vt:variant>
      <vt:variant>
        <vt:i4>5</vt:i4>
      </vt:variant>
      <vt:variant>
        <vt:lpwstr/>
      </vt:variant>
      <vt:variant>
        <vt:lpwstr>_Toc51860294</vt:lpwstr>
      </vt:variant>
      <vt:variant>
        <vt:i4>1114164</vt:i4>
      </vt:variant>
      <vt:variant>
        <vt:i4>812</vt:i4>
      </vt:variant>
      <vt:variant>
        <vt:i4>0</vt:i4>
      </vt:variant>
      <vt:variant>
        <vt:i4>5</vt:i4>
      </vt:variant>
      <vt:variant>
        <vt:lpwstr/>
      </vt:variant>
      <vt:variant>
        <vt:lpwstr>_Toc51860293</vt:lpwstr>
      </vt:variant>
      <vt:variant>
        <vt:i4>1048628</vt:i4>
      </vt:variant>
      <vt:variant>
        <vt:i4>806</vt:i4>
      </vt:variant>
      <vt:variant>
        <vt:i4>0</vt:i4>
      </vt:variant>
      <vt:variant>
        <vt:i4>5</vt:i4>
      </vt:variant>
      <vt:variant>
        <vt:lpwstr/>
      </vt:variant>
      <vt:variant>
        <vt:lpwstr>_Toc51860292</vt:lpwstr>
      </vt:variant>
      <vt:variant>
        <vt:i4>1245236</vt:i4>
      </vt:variant>
      <vt:variant>
        <vt:i4>800</vt:i4>
      </vt:variant>
      <vt:variant>
        <vt:i4>0</vt:i4>
      </vt:variant>
      <vt:variant>
        <vt:i4>5</vt:i4>
      </vt:variant>
      <vt:variant>
        <vt:lpwstr/>
      </vt:variant>
      <vt:variant>
        <vt:lpwstr>_Toc51860291</vt:lpwstr>
      </vt:variant>
      <vt:variant>
        <vt:i4>1179700</vt:i4>
      </vt:variant>
      <vt:variant>
        <vt:i4>794</vt:i4>
      </vt:variant>
      <vt:variant>
        <vt:i4>0</vt:i4>
      </vt:variant>
      <vt:variant>
        <vt:i4>5</vt:i4>
      </vt:variant>
      <vt:variant>
        <vt:lpwstr/>
      </vt:variant>
      <vt:variant>
        <vt:lpwstr>_Toc51860290</vt:lpwstr>
      </vt:variant>
      <vt:variant>
        <vt:i4>1769525</vt:i4>
      </vt:variant>
      <vt:variant>
        <vt:i4>788</vt:i4>
      </vt:variant>
      <vt:variant>
        <vt:i4>0</vt:i4>
      </vt:variant>
      <vt:variant>
        <vt:i4>5</vt:i4>
      </vt:variant>
      <vt:variant>
        <vt:lpwstr/>
      </vt:variant>
      <vt:variant>
        <vt:lpwstr>_Toc51860289</vt:lpwstr>
      </vt:variant>
      <vt:variant>
        <vt:i4>1703989</vt:i4>
      </vt:variant>
      <vt:variant>
        <vt:i4>782</vt:i4>
      </vt:variant>
      <vt:variant>
        <vt:i4>0</vt:i4>
      </vt:variant>
      <vt:variant>
        <vt:i4>5</vt:i4>
      </vt:variant>
      <vt:variant>
        <vt:lpwstr/>
      </vt:variant>
      <vt:variant>
        <vt:lpwstr>_Toc51860288</vt:lpwstr>
      </vt:variant>
      <vt:variant>
        <vt:i4>1376309</vt:i4>
      </vt:variant>
      <vt:variant>
        <vt:i4>776</vt:i4>
      </vt:variant>
      <vt:variant>
        <vt:i4>0</vt:i4>
      </vt:variant>
      <vt:variant>
        <vt:i4>5</vt:i4>
      </vt:variant>
      <vt:variant>
        <vt:lpwstr/>
      </vt:variant>
      <vt:variant>
        <vt:lpwstr>_Toc51860287</vt:lpwstr>
      </vt:variant>
      <vt:variant>
        <vt:i4>1310773</vt:i4>
      </vt:variant>
      <vt:variant>
        <vt:i4>770</vt:i4>
      </vt:variant>
      <vt:variant>
        <vt:i4>0</vt:i4>
      </vt:variant>
      <vt:variant>
        <vt:i4>5</vt:i4>
      </vt:variant>
      <vt:variant>
        <vt:lpwstr/>
      </vt:variant>
      <vt:variant>
        <vt:lpwstr>_Toc51860286</vt:lpwstr>
      </vt:variant>
      <vt:variant>
        <vt:i4>1507381</vt:i4>
      </vt:variant>
      <vt:variant>
        <vt:i4>764</vt:i4>
      </vt:variant>
      <vt:variant>
        <vt:i4>0</vt:i4>
      </vt:variant>
      <vt:variant>
        <vt:i4>5</vt:i4>
      </vt:variant>
      <vt:variant>
        <vt:lpwstr/>
      </vt:variant>
      <vt:variant>
        <vt:lpwstr>_Toc51860285</vt:lpwstr>
      </vt:variant>
      <vt:variant>
        <vt:i4>1441845</vt:i4>
      </vt:variant>
      <vt:variant>
        <vt:i4>758</vt:i4>
      </vt:variant>
      <vt:variant>
        <vt:i4>0</vt:i4>
      </vt:variant>
      <vt:variant>
        <vt:i4>5</vt:i4>
      </vt:variant>
      <vt:variant>
        <vt:lpwstr/>
      </vt:variant>
      <vt:variant>
        <vt:lpwstr>_Toc51860284</vt:lpwstr>
      </vt:variant>
      <vt:variant>
        <vt:i4>1114165</vt:i4>
      </vt:variant>
      <vt:variant>
        <vt:i4>752</vt:i4>
      </vt:variant>
      <vt:variant>
        <vt:i4>0</vt:i4>
      </vt:variant>
      <vt:variant>
        <vt:i4>5</vt:i4>
      </vt:variant>
      <vt:variant>
        <vt:lpwstr/>
      </vt:variant>
      <vt:variant>
        <vt:lpwstr>_Toc51860283</vt:lpwstr>
      </vt:variant>
      <vt:variant>
        <vt:i4>1048629</vt:i4>
      </vt:variant>
      <vt:variant>
        <vt:i4>746</vt:i4>
      </vt:variant>
      <vt:variant>
        <vt:i4>0</vt:i4>
      </vt:variant>
      <vt:variant>
        <vt:i4>5</vt:i4>
      </vt:variant>
      <vt:variant>
        <vt:lpwstr/>
      </vt:variant>
      <vt:variant>
        <vt:lpwstr>_Toc51860282</vt:lpwstr>
      </vt:variant>
      <vt:variant>
        <vt:i4>1245237</vt:i4>
      </vt:variant>
      <vt:variant>
        <vt:i4>740</vt:i4>
      </vt:variant>
      <vt:variant>
        <vt:i4>0</vt:i4>
      </vt:variant>
      <vt:variant>
        <vt:i4>5</vt:i4>
      </vt:variant>
      <vt:variant>
        <vt:lpwstr/>
      </vt:variant>
      <vt:variant>
        <vt:lpwstr>_Toc51860281</vt:lpwstr>
      </vt:variant>
      <vt:variant>
        <vt:i4>1179701</vt:i4>
      </vt:variant>
      <vt:variant>
        <vt:i4>734</vt:i4>
      </vt:variant>
      <vt:variant>
        <vt:i4>0</vt:i4>
      </vt:variant>
      <vt:variant>
        <vt:i4>5</vt:i4>
      </vt:variant>
      <vt:variant>
        <vt:lpwstr/>
      </vt:variant>
      <vt:variant>
        <vt:lpwstr>_Toc51860280</vt:lpwstr>
      </vt:variant>
      <vt:variant>
        <vt:i4>1769530</vt:i4>
      </vt:variant>
      <vt:variant>
        <vt:i4>728</vt:i4>
      </vt:variant>
      <vt:variant>
        <vt:i4>0</vt:i4>
      </vt:variant>
      <vt:variant>
        <vt:i4>5</vt:i4>
      </vt:variant>
      <vt:variant>
        <vt:lpwstr/>
      </vt:variant>
      <vt:variant>
        <vt:lpwstr>_Toc51860279</vt:lpwstr>
      </vt:variant>
      <vt:variant>
        <vt:i4>1703994</vt:i4>
      </vt:variant>
      <vt:variant>
        <vt:i4>722</vt:i4>
      </vt:variant>
      <vt:variant>
        <vt:i4>0</vt:i4>
      </vt:variant>
      <vt:variant>
        <vt:i4>5</vt:i4>
      </vt:variant>
      <vt:variant>
        <vt:lpwstr/>
      </vt:variant>
      <vt:variant>
        <vt:lpwstr>_Toc51860278</vt:lpwstr>
      </vt:variant>
      <vt:variant>
        <vt:i4>1376314</vt:i4>
      </vt:variant>
      <vt:variant>
        <vt:i4>716</vt:i4>
      </vt:variant>
      <vt:variant>
        <vt:i4>0</vt:i4>
      </vt:variant>
      <vt:variant>
        <vt:i4>5</vt:i4>
      </vt:variant>
      <vt:variant>
        <vt:lpwstr/>
      </vt:variant>
      <vt:variant>
        <vt:lpwstr>_Toc51860277</vt:lpwstr>
      </vt:variant>
      <vt:variant>
        <vt:i4>1310778</vt:i4>
      </vt:variant>
      <vt:variant>
        <vt:i4>710</vt:i4>
      </vt:variant>
      <vt:variant>
        <vt:i4>0</vt:i4>
      </vt:variant>
      <vt:variant>
        <vt:i4>5</vt:i4>
      </vt:variant>
      <vt:variant>
        <vt:lpwstr/>
      </vt:variant>
      <vt:variant>
        <vt:lpwstr>_Toc51860276</vt:lpwstr>
      </vt:variant>
      <vt:variant>
        <vt:i4>1507386</vt:i4>
      </vt:variant>
      <vt:variant>
        <vt:i4>704</vt:i4>
      </vt:variant>
      <vt:variant>
        <vt:i4>0</vt:i4>
      </vt:variant>
      <vt:variant>
        <vt:i4>5</vt:i4>
      </vt:variant>
      <vt:variant>
        <vt:lpwstr/>
      </vt:variant>
      <vt:variant>
        <vt:lpwstr>_Toc51860275</vt:lpwstr>
      </vt:variant>
      <vt:variant>
        <vt:i4>1441850</vt:i4>
      </vt:variant>
      <vt:variant>
        <vt:i4>698</vt:i4>
      </vt:variant>
      <vt:variant>
        <vt:i4>0</vt:i4>
      </vt:variant>
      <vt:variant>
        <vt:i4>5</vt:i4>
      </vt:variant>
      <vt:variant>
        <vt:lpwstr/>
      </vt:variant>
      <vt:variant>
        <vt:lpwstr>_Toc51860274</vt:lpwstr>
      </vt:variant>
      <vt:variant>
        <vt:i4>1114170</vt:i4>
      </vt:variant>
      <vt:variant>
        <vt:i4>692</vt:i4>
      </vt:variant>
      <vt:variant>
        <vt:i4>0</vt:i4>
      </vt:variant>
      <vt:variant>
        <vt:i4>5</vt:i4>
      </vt:variant>
      <vt:variant>
        <vt:lpwstr/>
      </vt:variant>
      <vt:variant>
        <vt:lpwstr>_Toc51860273</vt:lpwstr>
      </vt:variant>
      <vt:variant>
        <vt:i4>1048634</vt:i4>
      </vt:variant>
      <vt:variant>
        <vt:i4>686</vt:i4>
      </vt:variant>
      <vt:variant>
        <vt:i4>0</vt:i4>
      </vt:variant>
      <vt:variant>
        <vt:i4>5</vt:i4>
      </vt:variant>
      <vt:variant>
        <vt:lpwstr/>
      </vt:variant>
      <vt:variant>
        <vt:lpwstr>_Toc51860272</vt:lpwstr>
      </vt:variant>
      <vt:variant>
        <vt:i4>1245242</vt:i4>
      </vt:variant>
      <vt:variant>
        <vt:i4>680</vt:i4>
      </vt:variant>
      <vt:variant>
        <vt:i4>0</vt:i4>
      </vt:variant>
      <vt:variant>
        <vt:i4>5</vt:i4>
      </vt:variant>
      <vt:variant>
        <vt:lpwstr/>
      </vt:variant>
      <vt:variant>
        <vt:lpwstr>_Toc51860271</vt:lpwstr>
      </vt:variant>
      <vt:variant>
        <vt:i4>1179706</vt:i4>
      </vt:variant>
      <vt:variant>
        <vt:i4>674</vt:i4>
      </vt:variant>
      <vt:variant>
        <vt:i4>0</vt:i4>
      </vt:variant>
      <vt:variant>
        <vt:i4>5</vt:i4>
      </vt:variant>
      <vt:variant>
        <vt:lpwstr/>
      </vt:variant>
      <vt:variant>
        <vt:lpwstr>_Toc51860270</vt:lpwstr>
      </vt:variant>
      <vt:variant>
        <vt:i4>1769531</vt:i4>
      </vt:variant>
      <vt:variant>
        <vt:i4>668</vt:i4>
      </vt:variant>
      <vt:variant>
        <vt:i4>0</vt:i4>
      </vt:variant>
      <vt:variant>
        <vt:i4>5</vt:i4>
      </vt:variant>
      <vt:variant>
        <vt:lpwstr/>
      </vt:variant>
      <vt:variant>
        <vt:lpwstr>_Toc51860269</vt:lpwstr>
      </vt:variant>
      <vt:variant>
        <vt:i4>1703995</vt:i4>
      </vt:variant>
      <vt:variant>
        <vt:i4>662</vt:i4>
      </vt:variant>
      <vt:variant>
        <vt:i4>0</vt:i4>
      </vt:variant>
      <vt:variant>
        <vt:i4>5</vt:i4>
      </vt:variant>
      <vt:variant>
        <vt:lpwstr/>
      </vt:variant>
      <vt:variant>
        <vt:lpwstr>_Toc51860268</vt:lpwstr>
      </vt:variant>
      <vt:variant>
        <vt:i4>1376315</vt:i4>
      </vt:variant>
      <vt:variant>
        <vt:i4>656</vt:i4>
      </vt:variant>
      <vt:variant>
        <vt:i4>0</vt:i4>
      </vt:variant>
      <vt:variant>
        <vt:i4>5</vt:i4>
      </vt:variant>
      <vt:variant>
        <vt:lpwstr/>
      </vt:variant>
      <vt:variant>
        <vt:lpwstr>_Toc51860267</vt:lpwstr>
      </vt:variant>
      <vt:variant>
        <vt:i4>1310779</vt:i4>
      </vt:variant>
      <vt:variant>
        <vt:i4>650</vt:i4>
      </vt:variant>
      <vt:variant>
        <vt:i4>0</vt:i4>
      </vt:variant>
      <vt:variant>
        <vt:i4>5</vt:i4>
      </vt:variant>
      <vt:variant>
        <vt:lpwstr/>
      </vt:variant>
      <vt:variant>
        <vt:lpwstr>_Toc51860266</vt:lpwstr>
      </vt:variant>
      <vt:variant>
        <vt:i4>1507387</vt:i4>
      </vt:variant>
      <vt:variant>
        <vt:i4>644</vt:i4>
      </vt:variant>
      <vt:variant>
        <vt:i4>0</vt:i4>
      </vt:variant>
      <vt:variant>
        <vt:i4>5</vt:i4>
      </vt:variant>
      <vt:variant>
        <vt:lpwstr/>
      </vt:variant>
      <vt:variant>
        <vt:lpwstr>_Toc51860265</vt:lpwstr>
      </vt:variant>
      <vt:variant>
        <vt:i4>1441851</vt:i4>
      </vt:variant>
      <vt:variant>
        <vt:i4>638</vt:i4>
      </vt:variant>
      <vt:variant>
        <vt:i4>0</vt:i4>
      </vt:variant>
      <vt:variant>
        <vt:i4>5</vt:i4>
      </vt:variant>
      <vt:variant>
        <vt:lpwstr/>
      </vt:variant>
      <vt:variant>
        <vt:lpwstr>_Toc51860264</vt:lpwstr>
      </vt:variant>
      <vt:variant>
        <vt:i4>1114171</vt:i4>
      </vt:variant>
      <vt:variant>
        <vt:i4>632</vt:i4>
      </vt:variant>
      <vt:variant>
        <vt:i4>0</vt:i4>
      </vt:variant>
      <vt:variant>
        <vt:i4>5</vt:i4>
      </vt:variant>
      <vt:variant>
        <vt:lpwstr/>
      </vt:variant>
      <vt:variant>
        <vt:lpwstr>_Toc51860263</vt:lpwstr>
      </vt:variant>
      <vt:variant>
        <vt:i4>1048635</vt:i4>
      </vt:variant>
      <vt:variant>
        <vt:i4>626</vt:i4>
      </vt:variant>
      <vt:variant>
        <vt:i4>0</vt:i4>
      </vt:variant>
      <vt:variant>
        <vt:i4>5</vt:i4>
      </vt:variant>
      <vt:variant>
        <vt:lpwstr/>
      </vt:variant>
      <vt:variant>
        <vt:lpwstr>_Toc51860262</vt:lpwstr>
      </vt:variant>
      <vt:variant>
        <vt:i4>1245243</vt:i4>
      </vt:variant>
      <vt:variant>
        <vt:i4>620</vt:i4>
      </vt:variant>
      <vt:variant>
        <vt:i4>0</vt:i4>
      </vt:variant>
      <vt:variant>
        <vt:i4>5</vt:i4>
      </vt:variant>
      <vt:variant>
        <vt:lpwstr/>
      </vt:variant>
      <vt:variant>
        <vt:lpwstr>_Toc51860261</vt:lpwstr>
      </vt:variant>
      <vt:variant>
        <vt:i4>1179707</vt:i4>
      </vt:variant>
      <vt:variant>
        <vt:i4>614</vt:i4>
      </vt:variant>
      <vt:variant>
        <vt:i4>0</vt:i4>
      </vt:variant>
      <vt:variant>
        <vt:i4>5</vt:i4>
      </vt:variant>
      <vt:variant>
        <vt:lpwstr/>
      </vt:variant>
      <vt:variant>
        <vt:lpwstr>_Toc51860260</vt:lpwstr>
      </vt:variant>
      <vt:variant>
        <vt:i4>1769528</vt:i4>
      </vt:variant>
      <vt:variant>
        <vt:i4>608</vt:i4>
      </vt:variant>
      <vt:variant>
        <vt:i4>0</vt:i4>
      </vt:variant>
      <vt:variant>
        <vt:i4>5</vt:i4>
      </vt:variant>
      <vt:variant>
        <vt:lpwstr/>
      </vt:variant>
      <vt:variant>
        <vt:lpwstr>_Toc51860259</vt:lpwstr>
      </vt:variant>
      <vt:variant>
        <vt:i4>1703992</vt:i4>
      </vt:variant>
      <vt:variant>
        <vt:i4>602</vt:i4>
      </vt:variant>
      <vt:variant>
        <vt:i4>0</vt:i4>
      </vt:variant>
      <vt:variant>
        <vt:i4>5</vt:i4>
      </vt:variant>
      <vt:variant>
        <vt:lpwstr/>
      </vt:variant>
      <vt:variant>
        <vt:lpwstr>_Toc51860258</vt:lpwstr>
      </vt:variant>
      <vt:variant>
        <vt:i4>1376312</vt:i4>
      </vt:variant>
      <vt:variant>
        <vt:i4>596</vt:i4>
      </vt:variant>
      <vt:variant>
        <vt:i4>0</vt:i4>
      </vt:variant>
      <vt:variant>
        <vt:i4>5</vt:i4>
      </vt:variant>
      <vt:variant>
        <vt:lpwstr/>
      </vt:variant>
      <vt:variant>
        <vt:lpwstr>_Toc51860257</vt:lpwstr>
      </vt:variant>
      <vt:variant>
        <vt:i4>1310776</vt:i4>
      </vt:variant>
      <vt:variant>
        <vt:i4>590</vt:i4>
      </vt:variant>
      <vt:variant>
        <vt:i4>0</vt:i4>
      </vt:variant>
      <vt:variant>
        <vt:i4>5</vt:i4>
      </vt:variant>
      <vt:variant>
        <vt:lpwstr/>
      </vt:variant>
      <vt:variant>
        <vt:lpwstr>_Toc51860256</vt:lpwstr>
      </vt:variant>
      <vt:variant>
        <vt:i4>1507384</vt:i4>
      </vt:variant>
      <vt:variant>
        <vt:i4>584</vt:i4>
      </vt:variant>
      <vt:variant>
        <vt:i4>0</vt:i4>
      </vt:variant>
      <vt:variant>
        <vt:i4>5</vt:i4>
      </vt:variant>
      <vt:variant>
        <vt:lpwstr/>
      </vt:variant>
      <vt:variant>
        <vt:lpwstr>_Toc51860255</vt:lpwstr>
      </vt:variant>
      <vt:variant>
        <vt:i4>1441848</vt:i4>
      </vt:variant>
      <vt:variant>
        <vt:i4>578</vt:i4>
      </vt:variant>
      <vt:variant>
        <vt:i4>0</vt:i4>
      </vt:variant>
      <vt:variant>
        <vt:i4>5</vt:i4>
      </vt:variant>
      <vt:variant>
        <vt:lpwstr/>
      </vt:variant>
      <vt:variant>
        <vt:lpwstr>_Toc51860254</vt:lpwstr>
      </vt:variant>
      <vt:variant>
        <vt:i4>1114168</vt:i4>
      </vt:variant>
      <vt:variant>
        <vt:i4>572</vt:i4>
      </vt:variant>
      <vt:variant>
        <vt:i4>0</vt:i4>
      </vt:variant>
      <vt:variant>
        <vt:i4>5</vt:i4>
      </vt:variant>
      <vt:variant>
        <vt:lpwstr/>
      </vt:variant>
      <vt:variant>
        <vt:lpwstr>_Toc51860253</vt:lpwstr>
      </vt:variant>
      <vt:variant>
        <vt:i4>1048632</vt:i4>
      </vt:variant>
      <vt:variant>
        <vt:i4>566</vt:i4>
      </vt:variant>
      <vt:variant>
        <vt:i4>0</vt:i4>
      </vt:variant>
      <vt:variant>
        <vt:i4>5</vt:i4>
      </vt:variant>
      <vt:variant>
        <vt:lpwstr/>
      </vt:variant>
      <vt:variant>
        <vt:lpwstr>_Toc51860252</vt:lpwstr>
      </vt:variant>
      <vt:variant>
        <vt:i4>1245240</vt:i4>
      </vt:variant>
      <vt:variant>
        <vt:i4>560</vt:i4>
      </vt:variant>
      <vt:variant>
        <vt:i4>0</vt:i4>
      </vt:variant>
      <vt:variant>
        <vt:i4>5</vt:i4>
      </vt:variant>
      <vt:variant>
        <vt:lpwstr/>
      </vt:variant>
      <vt:variant>
        <vt:lpwstr>_Toc51860251</vt:lpwstr>
      </vt:variant>
      <vt:variant>
        <vt:i4>1179704</vt:i4>
      </vt:variant>
      <vt:variant>
        <vt:i4>554</vt:i4>
      </vt:variant>
      <vt:variant>
        <vt:i4>0</vt:i4>
      </vt:variant>
      <vt:variant>
        <vt:i4>5</vt:i4>
      </vt:variant>
      <vt:variant>
        <vt:lpwstr/>
      </vt:variant>
      <vt:variant>
        <vt:lpwstr>_Toc51860250</vt:lpwstr>
      </vt:variant>
      <vt:variant>
        <vt:i4>1769529</vt:i4>
      </vt:variant>
      <vt:variant>
        <vt:i4>548</vt:i4>
      </vt:variant>
      <vt:variant>
        <vt:i4>0</vt:i4>
      </vt:variant>
      <vt:variant>
        <vt:i4>5</vt:i4>
      </vt:variant>
      <vt:variant>
        <vt:lpwstr/>
      </vt:variant>
      <vt:variant>
        <vt:lpwstr>_Toc51860249</vt:lpwstr>
      </vt:variant>
      <vt:variant>
        <vt:i4>1703993</vt:i4>
      </vt:variant>
      <vt:variant>
        <vt:i4>542</vt:i4>
      </vt:variant>
      <vt:variant>
        <vt:i4>0</vt:i4>
      </vt:variant>
      <vt:variant>
        <vt:i4>5</vt:i4>
      </vt:variant>
      <vt:variant>
        <vt:lpwstr/>
      </vt:variant>
      <vt:variant>
        <vt:lpwstr>_Toc51860248</vt:lpwstr>
      </vt:variant>
      <vt:variant>
        <vt:i4>1376313</vt:i4>
      </vt:variant>
      <vt:variant>
        <vt:i4>536</vt:i4>
      </vt:variant>
      <vt:variant>
        <vt:i4>0</vt:i4>
      </vt:variant>
      <vt:variant>
        <vt:i4>5</vt:i4>
      </vt:variant>
      <vt:variant>
        <vt:lpwstr/>
      </vt:variant>
      <vt:variant>
        <vt:lpwstr>_Toc51860247</vt:lpwstr>
      </vt:variant>
      <vt:variant>
        <vt:i4>1310777</vt:i4>
      </vt:variant>
      <vt:variant>
        <vt:i4>530</vt:i4>
      </vt:variant>
      <vt:variant>
        <vt:i4>0</vt:i4>
      </vt:variant>
      <vt:variant>
        <vt:i4>5</vt:i4>
      </vt:variant>
      <vt:variant>
        <vt:lpwstr/>
      </vt:variant>
      <vt:variant>
        <vt:lpwstr>_Toc51860246</vt:lpwstr>
      </vt:variant>
      <vt:variant>
        <vt:i4>1507385</vt:i4>
      </vt:variant>
      <vt:variant>
        <vt:i4>524</vt:i4>
      </vt:variant>
      <vt:variant>
        <vt:i4>0</vt:i4>
      </vt:variant>
      <vt:variant>
        <vt:i4>5</vt:i4>
      </vt:variant>
      <vt:variant>
        <vt:lpwstr/>
      </vt:variant>
      <vt:variant>
        <vt:lpwstr>_Toc51860245</vt:lpwstr>
      </vt:variant>
      <vt:variant>
        <vt:i4>1441849</vt:i4>
      </vt:variant>
      <vt:variant>
        <vt:i4>518</vt:i4>
      </vt:variant>
      <vt:variant>
        <vt:i4>0</vt:i4>
      </vt:variant>
      <vt:variant>
        <vt:i4>5</vt:i4>
      </vt:variant>
      <vt:variant>
        <vt:lpwstr/>
      </vt:variant>
      <vt:variant>
        <vt:lpwstr>_Toc51860244</vt:lpwstr>
      </vt:variant>
      <vt:variant>
        <vt:i4>1114169</vt:i4>
      </vt:variant>
      <vt:variant>
        <vt:i4>512</vt:i4>
      </vt:variant>
      <vt:variant>
        <vt:i4>0</vt:i4>
      </vt:variant>
      <vt:variant>
        <vt:i4>5</vt:i4>
      </vt:variant>
      <vt:variant>
        <vt:lpwstr/>
      </vt:variant>
      <vt:variant>
        <vt:lpwstr>_Toc51860243</vt:lpwstr>
      </vt:variant>
      <vt:variant>
        <vt:i4>1048633</vt:i4>
      </vt:variant>
      <vt:variant>
        <vt:i4>506</vt:i4>
      </vt:variant>
      <vt:variant>
        <vt:i4>0</vt:i4>
      </vt:variant>
      <vt:variant>
        <vt:i4>5</vt:i4>
      </vt:variant>
      <vt:variant>
        <vt:lpwstr/>
      </vt:variant>
      <vt:variant>
        <vt:lpwstr>_Toc51860242</vt:lpwstr>
      </vt:variant>
      <vt:variant>
        <vt:i4>1245241</vt:i4>
      </vt:variant>
      <vt:variant>
        <vt:i4>500</vt:i4>
      </vt:variant>
      <vt:variant>
        <vt:i4>0</vt:i4>
      </vt:variant>
      <vt:variant>
        <vt:i4>5</vt:i4>
      </vt:variant>
      <vt:variant>
        <vt:lpwstr/>
      </vt:variant>
      <vt:variant>
        <vt:lpwstr>_Toc51860241</vt:lpwstr>
      </vt:variant>
      <vt:variant>
        <vt:i4>1179705</vt:i4>
      </vt:variant>
      <vt:variant>
        <vt:i4>494</vt:i4>
      </vt:variant>
      <vt:variant>
        <vt:i4>0</vt:i4>
      </vt:variant>
      <vt:variant>
        <vt:i4>5</vt:i4>
      </vt:variant>
      <vt:variant>
        <vt:lpwstr/>
      </vt:variant>
      <vt:variant>
        <vt:lpwstr>_Toc51860240</vt:lpwstr>
      </vt:variant>
      <vt:variant>
        <vt:i4>1769534</vt:i4>
      </vt:variant>
      <vt:variant>
        <vt:i4>488</vt:i4>
      </vt:variant>
      <vt:variant>
        <vt:i4>0</vt:i4>
      </vt:variant>
      <vt:variant>
        <vt:i4>5</vt:i4>
      </vt:variant>
      <vt:variant>
        <vt:lpwstr/>
      </vt:variant>
      <vt:variant>
        <vt:lpwstr>_Toc51860239</vt:lpwstr>
      </vt:variant>
      <vt:variant>
        <vt:i4>1703998</vt:i4>
      </vt:variant>
      <vt:variant>
        <vt:i4>482</vt:i4>
      </vt:variant>
      <vt:variant>
        <vt:i4>0</vt:i4>
      </vt:variant>
      <vt:variant>
        <vt:i4>5</vt:i4>
      </vt:variant>
      <vt:variant>
        <vt:lpwstr/>
      </vt:variant>
      <vt:variant>
        <vt:lpwstr>_Toc51860238</vt:lpwstr>
      </vt:variant>
      <vt:variant>
        <vt:i4>1376318</vt:i4>
      </vt:variant>
      <vt:variant>
        <vt:i4>476</vt:i4>
      </vt:variant>
      <vt:variant>
        <vt:i4>0</vt:i4>
      </vt:variant>
      <vt:variant>
        <vt:i4>5</vt:i4>
      </vt:variant>
      <vt:variant>
        <vt:lpwstr/>
      </vt:variant>
      <vt:variant>
        <vt:lpwstr>_Toc51860237</vt:lpwstr>
      </vt:variant>
      <vt:variant>
        <vt:i4>1310782</vt:i4>
      </vt:variant>
      <vt:variant>
        <vt:i4>470</vt:i4>
      </vt:variant>
      <vt:variant>
        <vt:i4>0</vt:i4>
      </vt:variant>
      <vt:variant>
        <vt:i4>5</vt:i4>
      </vt:variant>
      <vt:variant>
        <vt:lpwstr/>
      </vt:variant>
      <vt:variant>
        <vt:lpwstr>_Toc51860236</vt:lpwstr>
      </vt:variant>
      <vt:variant>
        <vt:i4>1507390</vt:i4>
      </vt:variant>
      <vt:variant>
        <vt:i4>464</vt:i4>
      </vt:variant>
      <vt:variant>
        <vt:i4>0</vt:i4>
      </vt:variant>
      <vt:variant>
        <vt:i4>5</vt:i4>
      </vt:variant>
      <vt:variant>
        <vt:lpwstr/>
      </vt:variant>
      <vt:variant>
        <vt:lpwstr>_Toc51860235</vt:lpwstr>
      </vt:variant>
      <vt:variant>
        <vt:i4>1441854</vt:i4>
      </vt:variant>
      <vt:variant>
        <vt:i4>458</vt:i4>
      </vt:variant>
      <vt:variant>
        <vt:i4>0</vt:i4>
      </vt:variant>
      <vt:variant>
        <vt:i4>5</vt:i4>
      </vt:variant>
      <vt:variant>
        <vt:lpwstr/>
      </vt:variant>
      <vt:variant>
        <vt:lpwstr>_Toc51860234</vt:lpwstr>
      </vt:variant>
      <vt:variant>
        <vt:i4>1114174</vt:i4>
      </vt:variant>
      <vt:variant>
        <vt:i4>452</vt:i4>
      </vt:variant>
      <vt:variant>
        <vt:i4>0</vt:i4>
      </vt:variant>
      <vt:variant>
        <vt:i4>5</vt:i4>
      </vt:variant>
      <vt:variant>
        <vt:lpwstr/>
      </vt:variant>
      <vt:variant>
        <vt:lpwstr>_Toc51860233</vt:lpwstr>
      </vt:variant>
      <vt:variant>
        <vt:i4>1048638</vt:i4>
      </vt:variant>
      <vt:variant>
        <vt:i4>446</vt:i4>
      </vt:variant>
      <vt:variant>
        <vt:i4>0</vt:i4>
      </vt:variant>
      <vt:variant>
        <vt:i4>5</vt:i4>
      </vt:variant>
      <vt:variant>
        <vt:lpwstr/>
      </vt:variant>
      <vt:variant>
        <vt:lpwstr>_Toc51860232</vt:lpwstr>
      </vt:variant>
      <vt:variant>
        <vt:i4>1245246</vt:i4>
      </vt:variant>
      <vt:variant>
        <vt:i4>440</vt:i4>
      </vt:variant>
      <vt:variant>
        <vt:i4>0</vt:i4>
      </vt:variant>
      <vt:variant>
        <vt:i4>5</vt:i4>
      </vt:variant>
      <vt:variant>
        <vt:lpwstr/>
      </vt:variant>
      <vt:variant>
        <vt:lpwstr>_Toc51860231</vt:lpwstr>
      </vt:variant>
      <vt:variant>
        <vt:i4>1179710</vt:i4>
      </vt:variant>
      <vt:variant>
        <vt:i4>434</vt:i4>
      </vt:variant>
      <vt:variant>
        <vt:i4>0</vt:i4>
      </vt:variant>
      <vt:variant>
        <vt:i4>5</vt:i4>
      </vt:variant>
      <vt:variant>
        <vt:lpwstr/>
      </vt:variant>
      <vt:variant>
        <vt:lpwstr>_Toc51860230</vt:lpwstr>
      </vt:variant>
      <vt:variant>
        <vt:i4>1769535</vt:i4>
      </vt:variant>
      <vt:variant>
        <vt:i4>428</vt:i4>
      </vt:variant>
      <vt:variant>
        <vt:i4>0</vt:i4>
      </vt:variant>
      <vt:variant>
        <vt:i4>5</vt:i4>
      </vt:variant>
      <vt:variant>
        <vt:lpwstr/>
      </vt:variant>
      <vt:variant>
        <vt:lpwstr>_Toc51860229</vt:lpwstr>
      </vt:variant>
      <vt:variant>
        <vt:i4>1703999</vt:i4>
      </vt:variant>
      <vt:variant>
        <vt:i4>422</vt:i4>
      </vt:variant>
      <vt:variant>
        <vt:i4>0</vt:i4>
      </vt:variant>
      <vt:variant>
        <vt:i4>5</vt:i4>
      </vt:variant>
      <vt:variant>
        <vt:lpwstr/>
      </vt:variant>
      <vt:variant>
        <vt:lpwstr>_Toc51860228</vt:lpwstr>
      </vt:variant>
      <vt:variant>
        <vt:i4>1376319</vt:i4>
      </vt:variant>
      <vt:variant>
        <vt:i4>416</vt:i4>
      </vt:variant>
      <vt:variant>
        <vt:i4>0</vt:i4>
      </vt:variant>
      <vt:variant>
        <vt:i4>5</vt:i4>
      </vt:variant>
      <vt:variant>
        <vt:lpwstr/>
      </vt:variant>
      <vt:variant>
        <vt:lpwstr>_Toc51860227</vt:lpwstr>
      </vt:variant>
      <vt:variant>
        <vt:i4>1310783</vt:i4>
      </vt:variant>
      <vt:variant>
        <vt:i4>410</vt:i4>
      </vt:variant>
      <vt:variant>
        <vt:i4>0</vt:i4>
      </vt:variant>
      <vt:variant>
        <vt:i4>5</vt:i4>
      </vt:variant>
      <vt:variant>
        <vt:lpwstr/>
      </vt:variant>
      <vt:variant>
        <vt:lpwstr>_Toc51860226</vt:lpwstr>
      </vt:variant>
      <vt:variant>
        <vt:i4>1507391</vt:i4>
      </vt:variant>
      <vt:variant>
        <vt:i4>404</vt:i4>
      </vt:variant>
      <vt:variant>
        <vt:i4>0</vt:i4>
      </vt:variant>
      <vt:variant>
        <vt:i4>5</vt:i4>
      </vt:variant>
      <vt:variant>
        <vt:lpwstr/>
      </vt:variant>
      <vt:variant>
        <vt:lpwstr>_Toc51860225</vt:lpwstr>
      </vt:variant>
      <vt:variant>
        <vt:i4>1441855</vt:i4>
      </vt:variant>
      <vt:variant>
        <vt:i4>398</vt:i4>
      </vt:variant>
      <vt:variant>
        <vt:i4>0</vt:i4>
      </vt:variant>
      <vt:variant>
        <vt:i4>5</vt:i4>
      </vt:variant>
      <vt:variant>
        <vt:lpwstr/>
      </vt:variant>
      <vt:variant>
        <vt:lpwstr>_Toc51860224</vt:lpwstr>
      </vt:variant>
      <vt:variant>
        <vt:i4>1114175</vt:i4>
      </vt:variant>
      <vt:variant>
        <vt:i4>392</vt:i4>
      </vt:variant>
      <vt:variant>
        <vt:i4>0</vt:i4>
      </vt:variant>
      <vt:variant>
        <vt:i4>5</vt:i4>
      </vt:variant>
      <vt:variant>
        <vt:lpwstr/>
      </vt:variant>
      <vt:variant>
        <vt:lpwstr>_Toc51860223</vt:lpwstr>
      </vt:variant>
      <vt:variant>
        <vt:i4>1048639</vt:i4>
      </vt:variant>
      <vt:variant>
        <vt:i4>386</vt:i4>
      </vt:variant>
      <vt:variant>
        <vt:i4>0</vt:i4>
      </vt:variant>
      <vt:variant>
        <vt:i4>5</vt:i4>
      </vt:variant>
      <vt:variant>
        <vt:lpwstr/>
      </vt:variant>
      <vt:variant>
        <vt:lpwstr>_Toc51860222</vt:lpwstr>
      </vt:variant>
      <vt:variant>
        <vt:i4>1245247</vt:i4>
      </vt:variant>
      <vt:variant>
        <vt:i4>380</vt:i4>
      </vt:variant>
      <vt:variant>
        <vt:i4>0</vt:i4>
      </vt:variant>
      <vt:variant>
        <vt:i4>5</vt:i4>
      </vt:variant>
      <vt:variant>
        <vt:lpwstr/>
      </vt:variant>
      <vt:variant>
        <vt:lpwstr>_Toc51860221</vt:lpwstr>
      </vt:variant>
      <vt:variant>
        <vt:i4>1179711</vt:i4>
      </vt:variant>
      <vt:variant>
        <vt:i4>374</vt:i4>
      </vt:variant>
      <vt:variant>
        <vt:i4>0</vt:i4>
      </vt:variant>
      <vt:variant>
        <vt:i4>5</vt:i4>
      </vt:variant>
      <vt:variant>
        <vt:lpwstr/>
      </vt:variant>
      <vt:variant>
        <vt:lpwstr>_Toc51860220</vt:lpwstr>
      </vt:variant>
      <vt:variant>
        <vt:i4>1769532</vt:i4>
      </vt:variant>
      <vt:variant>
        <vt:i4>368</vt:i4>
      </vt:variant>
      <vt:variant>
        <vt:i4>0</vt:i4>
      </vt:variant>
      <vt:variant>
        <vt:i4>5</vt:i4>
      </vt:variant>
      <vt:variant>
        <vt:lpwstr/>
      </vt:variant>
      <vt:variant>
        <vt:lpwstr>_Toc51860219</vt:lpwstr>
      </vt:variant>
      <vt:variant>
        <vt:i4>1703996</vt:i4>
      </vt:variant>
      <vt:variant>
        <vt:i4>362</vt:i4>
      </vt:variant>
      <vt:variant>
        <vt:i4>0</vt:i4>
      </vt:variant>
      <vt:variant>
        <vt:i4>5</vt:i4>
      </vt:variant>
      <vt:variant>
        <vt:lpwstr/>
      </vt:variant>
      <vt:variant>
        <vt:lpwstr>_Toc51860218</vt:lpwstr>
      </vt:variant>
      <vt:variant>
        <vt:i4>1376316</vt:i4>
      </vt:variant>
      <vt:variant>
        <vt:i4>356</vt:i4>
      </vt:variant>
      <vt:variant>
        <vt:i4>0</vt:i4>
      </vt:variant>
      <vt:variant>
        <vt:i4>5</vt:i4>
      </vt:variant>
      <vt:variant>
        <vt:lpwstr/>
      </vt:variant>
      <vt:variant>
        <vt:lpwstr>_Toc51860217</vt:lpwstr>
      </vt:variant>
      <vt:variant>
        <vt:i4>1310780</vt:i4>
      </vt:variant>
      <vt:variant>
        <vt:i4>350</vt:i4>
      </vt:variant>
      <vt:variant>
        <vt:i4>0</vt:i4>
      </vt:variant>
      <vt:variant>
        <vt:i4>5</vt:i4>
      </vt:variant>
      <vt:variant>
        <vt:lpwstr/>
      </vt:variant>
      <vt:variant>
        <vt:lpwstr>_Toc51860216</vt:lpwstr>
      </vt:variant>
      <vt:variant>
        <vt:i4>1507388</vt:i4>
      </vt:variant>
      <vt:variant>
        <vt:i4>344</vt:i4>
      </vt:variant>
      <vt:variant>
        <vt:i4>0</vt:i4>
      </vt:variant>
      <vt:variant>
        <vt:i4>5</vt:i4>
      </vt:variant>
      <vt:variant>
        <vt:lpwstr/>
      </vt:variant>
      <vt:variant>
        <vt:lpwstr>_Toc51860215</vt:lpwstr>
      </vt:variant>
      <vt:variant>
        <vt:i4>1441852</vt:i4>
      </vt:variant>
      <vt:variant>
        <vt:i4>338</vt:i4>
      </vt:variant>
      <vt:variant>
        <vt:i4>0</vt:i4>
      </vt:variant>
      <vt:variant>
        <vt:i4>5</vt:i4>
      </vt:variant>
      <vt:variant>
        <vt:lpwstr/>
      </vt:variant>
      <vt:variant>
        <vt:lpwstr>_Toc51860214</vt:lpwstr>
      </vt:variant>
      <vt:variant>
        <vt:i4>1114172</vt:i4>
      </vt:variant>
      <vt:variant>
        <vt:i4>332</vt:i4>
      </vt:variant>
      <vt:variant>
        <vt:i4>0</vt:i4>
      </vt:variant>
      <vt:variant>
        <vt:i4>5</vt:i4>
      </vt:variant>
      <vt:variant>
        <vt:lpwstr/>
      </vt:variant>
      <vt:variant>
        <vt:lpwstr>_Toc51860213</vt:lpwstr>
      </vt:variant>
      <vt:variant>
        <vt:i4>1048636</vt:i4>
      </vt:variant>
      <vt:variant>
        <vt:i4>326</vt:i4>
      </vt:variant>
      <vt:variant>
        <vt:i4>0</vt:i4>
      </vt:variant>
      <vt:variant>
        <vt:i4>5</vt:i4>
      </vt:variant>
      <vt:variant>
        <vt:lpwstr/>
      </vt:variant>
      <vt:variant>
        <vt:lpwstr>_Toc51860212</vt:lpwstr>
      </vt:variant>
      <vt:variant>
        <vt:i4>1245244</vt:i4>
      </vt:variant>
      <vt:variant>
        <vt:i4>320</vt:i4>
      </vt:variant>
      <vt:variant>
        <vt:i4>0</vt:i4>
      </vt:variant>
      <vt:variant>
        <vt:i4>5</vt:i4>
      </vt:variant>
      <vt:variant>
        <vt:lpwstr/>
      </vt:variant>
      <vt:variant>
        <vt:lpwstr>_Toc51860211</vt:lpwstr>
      </vt:variant>
      <vt:variant>
        <vt:i4>1179708</vt:i4>
      </vt:variant>
      <vt:variant>
        <vt:i4>314</vt:i4>
      </vt:variant>
      <vt:variant>
        <vt:i4>0</vt:i4>
      </vt:variant>
      <vt:variant>
        <vt:i4>5</vt:i4>
      </vt:variant>
      <vt:variant>
        <vt:lpwstr/>
      </vt:variant>
      <vt:variant>
        <vt:lpwstr>_Toc51860210</vt:lpwstr>
      </vt:variant>
      <vt:variant>
        <vt:i4>1769533</vt:i4>
      </vt:variant>
      <vt:variant>
        <vt:i4>308</vt:i4>
      </vt:variant>
      <vt:variant>
        <vt:i4>0</vt:i4>
      </vt:variant>
      <vt:variant>
        <vt:i4>5</vt:i4>
      </vt:variant>
      <vt:variant>
        <vt:lpwstr/>
      </vt:variant>
      <vt:variant>
        <vt:lpwstr>_Toc51860209</vt:lpwstr>
      </vt:variant>
      <vt:variant>
        <vt:i4>1703997</vt:i4>
      </vt:variant>
      <vt:variant>
        <vt:i4>302</vt:i4>
      </vt:variant>
      <vt:variant>
        <vt:i4>0</vt:i4>
      </vt:variant>
      <vt:variant>
        <vt:i4>5</vt:i4>
      </vt:variant>
      <vt:variant>
        <vt:lpwstr/>
      </vt:variant>
      <vt:variant>
        <vt:lpwstr>_Toc51860208</vt:lpwstr>
      </vt:variant>
      <vt:variant>
        <vt:i4>1376317</vt:i4>
      </vt:variant>
      <vt:variant>
        <vt:i4>296</vt:i4>
      </vt:variant>
      <vt:variant>
        <vt:i4>0</vt:i4>
      </vt:variant>
      <vt:variant>
        <vt:i4>5</vt:i4>
      </vt:variant>
      <vt:variant>
        <vt:lpwstr/>
      </vt:variant>
      <vt:variant>
        <vt:lpwstr>_Toc51860207</vt:lpwstr>
      </vt:variant>
      <vt:variant>
        <vt:i4>1310781</vt:i4>
      </vt:variant>
      <vt:variant>
        <vt:i4>290</vt:i4>
      </vt:variant>
      <vt:variant>
        <vt:i4>0</vt:i4>
      </vt:variant>
      <vt:variant>
        <vt:i4>5</vt:i4>
      </vt:variant>
      <vt:variant>
        <vt:lpwstr/>
      </vt:variant>
      <vt:variant>
        <vt:lpwstr>_Toc51860206</vt:lpwstr>
      </vt:variant>
      <vt:variant>
        <vt:i4>1507389</vt:i4>
      </vt:variant>
      <vt:variant>
        <vt:i4>284</vt:i4>
      </vt:variant>
      <vt:variant>
        <vt:i4>0</vt:i4>
      </vt:variant>
      <vt:variant>
        <vt:i4>5</vt:i4>
      </vt:variant>
      <vt:variant>
        <vt:lpwstr/>
      </vt:variant>
      <vt:variant>
        <vt:lpwstr>_Toc51860205</vt:lpwstr>
      </vt:variant>
      <vt:variant>
        <vt:i4>1441853</vt:i4>
      </vt:variant>
      <vt:variant>
        <vt:i4>278</vt:i4>
      </vt:variant>
      <vt:variant>
        <vt:i4>0</vt:i4>
      </vt:variant>
      <vt:variant>
        <vt:i4>5</vt:i4>
      </vt:variant>
      <vt:variant>
        <vt:lpwstr/>
      </vt:variant>
      <vt:variant>
        <vt:lpwstr>_Toc51860204</vt:lpwstr>
      </vt:variant>
      <vt:variant>
        <vt:i4>1114173</vt:i4>
      </vt:variant>
      <vt:variant>
        <vt:i4>272</vt:i4>
      </vt:variant>
      <vt:variant>
        <vt:i4>0</vt:i4>
      </vt:variant>
      <vt:variant>
        <vt:i4>5</vt:i4>
      </vt:variant>
      <vt:variant>
        <vt:lpwstr/>
      </vt:variant>
      <vt:variant>
        <vt:lpwstr>_Toc51860203</vt:lpwstr>
      </vt:variant>
      <vt:variant>
        <vt:i4>1048637</vt:i4>
      </vt:variant>
      <vt:variant>
        <vt:i4>266</vt:i4>
      </vt:variant>
      <vt:variant>
        <vt:i4>0</vt:i4>
      </vt:variant>
      <vt:variant>
        <vt:i4>5</vt:i4>
      </vt:variant>
      <vt:variant>
        <vt:lpwstr/>
      </vt:variant>
      <vt:variant>
        <vt:lpwstr>_Toc51860202</vt:lpwstr>
      </vt:variant>
      <vt:variant>
        <vt:i4>1245245</vt:i4>
      </vt:variant>
      <vt:variant>
        <vt:i4>260</vt:i4>
      </vt:variant>
      <vt:variant>
        <vt:i4>0</vt:i4>
      </vt:variant>
      <vt:variant>
        <vt:i4>5</vt:i4>
      </vt:variant>
      <vt:variant>
        <vt:lpwstr/>
      </vt:variant>
      <vt:variant>
        <vt:lpwstr>_Toc51860201</vt:lpwstr>
      </vt:variant>
      <vt:variant>
        <vt:i4>1179709</vt:i4>
      </vt:variant>
      <vt:variant>
        <vt:i4>254</vt:i4>
      </vt:variant>
      <vt:variant>
        <vt:i4>0</vt:i4>
      </vt:variant>
      <vt:variant>
        <vt:i4>5</vt:i4>
      </vt:variant>
      <vt:variant>
        <vt:lpwstr/>
      </vt:variant>
      <vt:variant>
        <vt:lpwstr>_Toc51860200</vt:lpwstr>
      </vt:variant>
      <vt:variant>
        <vt:i4>1572916</vt:i4>
      </vt:variant>
      <vt:variant>
        <vt:i4>248</vt:i4>
      </vt:variant>
      <vt:variant>
        <vt:i4>0</vt:i4>
      </vt:variant>
      <vt:variant>
        <vt:i4>5</vt:i4>
      </vt:variant>
      <vt:variant>
        <vt:lpwstr/>
      </vt:variant>
      <vt:variant>
        <vt:lpwstr>_Toc51860199</vt:lpwstr>
      </vt:variant>
      <vt:variant>
        <vt:i4>1638452</vt:i4>
      </vt:variant>
      <vt:variant>
        <vt:i4>242</vt:i4>
      </vt:variant>
      <vt:variant>
        <vt:i4>0</vt:i4>
      </vt:variant>
      <vt:variant>
        <vt:i4>5</vt:i4>
      </vt:variant>
      <vt:variant>
        <vt:lpwstr/>
      </vt:variant>
      <vt:variant>
        <vt:lpwstr>_Toc51860198</vt:lpwstr>
      </vt:variant>
      <vt:variant>
        <vt:i4>1441844</vt:i4>
      </vt:variant>
      <vt:variant>
        <vt:i4>236</vt:i4>
      </vt:variant>
      <vt:variant>
        <vt:i4>0</vt:i4>
      </vt:variant>
      <vt:variant>
        <vt:i4>5</vt:i4>
      </vt:variant>
      <vt:variant>
        <vt:lpwstr/>
      </vt:variant>
      <vt:variant>
        <vt:lpwstr>_Toc51860197</vt:lpwstr>
      </vt:variant>
      <vt:variant>
        <vt:i4>1507380</vt:i4>
      </vt:variant>
      <vt:variant>
        <vt:i4>230</vt:i4>
      </vt:variant>
      <vt:variant>
        <vt:i4>0</vt:i4>
      </vt:variant>
      <vt:variant>
        <vt:i4>5</vt:i4>
      </vt:variant>
      <vt:variant>
        <vt:lpwstr/>
      </vt:variant>
      <vt:variant>
        <vt:lpwstr>_Toc51860196</vt:lpwstr>
      </vt:variant>
      <vt:variant>
        <vt:i4>1310772</vt:i4>
      </vt:variant>
      <vt:variant>
        <vt:i4>224</vt:i4>
      </vt:variant>
      <vt:variant>
        <vt:i4>0</vt:i4>
      </vt:variant>
      <vt:variant>
        <vt:i4>5</vt:i4>
      </vt:variant>
      <vt:variant>
        <vt:lpwstr/>
      </vt:variant>
      <vt:variant>
        <vt:lpwstr>_Toc51860195</vt:lpwstr>
      </vt:variant>
      <vt:variant>
        <vt:i4>1376308</vt:i4>
      </vt:variant>
      <vt:variant>
        <vt:i4>218</vt:i4>
      </vt:variant>
      <vt:variant>
        <vt:i4>0</vt:i4>
      </vt:variant>
      <vt:variant>
        <vt:i4>5</vt:i4>
      </vt:variant>
      <vt:variant>
        <vt:lpwstr/>
      </vt:variant>
      <vt:variant>
        <vt:lpwstr>_Toc51860194</vt:lpwstr>
      </vt:variant>
      <vt:variant>
        <vt:i4>1179700</vt:i4>
      </vt:variant>
      <vt:variant>
        <vt:i4>212</vt:i4>
      </vt:variant>
      <vt:variant>
        <vt:i4>0</vt:i4>
      </vt:variant>
      <vt:variant>
        <vt:i4>5</vt:i4>
      </vt:variant>
      <vt:variant>
        <vt:lpwstr/>
      </vt:variant>
      <vt:variant>
        <vt:lpwstr>_Toc51860193</vt:lpwstr>
      </vt:variant>
      <vt:variant>
        <vt:i4>1245236</vt:i4>
      </vt:variant>
      <vt:variant>
        <vt:i4>206</vt:i4>
      </vt:variant>
      <vt:variant>
        <vt:i4>0</vt:i4>
      </vt:variant>
      <vt:variant>
        <vt:i4>5</vt:i4>
      </vt:variant>
      <vt:variant>
        <vt:lpwstr/>
      </vt:variant>
      <vt:variant>
        <vt:lpwstr>_Toc51860192</vt:lpwstr>
      </vt:variant>
      <vt:variant>
        <vt:i4>1048628</vt:i4>
      </vt:variant>
      <vt:variant>
        <vt:i4>200</vt:i4>
      </vt:variant>
      <vt:variant>
        <vt:i4>0</vt:i4>
      </vt:variant>
      <vt:variant>
        <vt:i4>5</vt:i4>
      </vt:variant>
      <vt:variant>
        <vt:lpwstr/>
      </vt:variant>
      <vt:variant>
        <vt:lpwstr>_Toc51860191</vt:lpwstr>
      </vt:variant>
      <vt:variant>
        <vt:i4>1114164</vt:i4>
      </vt:variant>
      <vt:variant>
        <vt:i4>194</vt:i4>
      </vt:variant>
      <vt:variant>
        <vt:i4>0</vt:i4>
      </vt:variant>
      <vt:variant>
        <vt:i4>5</vt:i4>
      </vt:variant>
      <vt:variant>
        <vt:lpwstr/>
      </vt:variant>
      <vt:variant>
        <vt:lpwstr>_Toc51860190</vt:lpwstr>
      </vt:variant>
      <vt:variant>
        <vt:i4>1572917</vt:i4>
      </vt:variant>
      <vt:variant>
        <vt:i4>188</vt:i4>
      </vt:variant>
      <vt:variant>
        <vt:i4>0</vt:i4>
      </vt:variant>
      <vt:variant>
        <vt:i4>5</vt:i4>
      </vt:variant>
      <vt:variant>
        <vt:lpwstr/>
      </vt:variant>
      <vt:variant>
        <vt:lpwstr>_Toc51860189</vt:lpwstr>
      </vt:variant>
      <vt:variant>
        <vt:i4>1638453</vt:i4>
      </vt:variant>
      <vt:variant>
        <vt:i4>182</vt:i4>
      </vt:variant>
      <vt:variant>
        <vt:i4>0</vt:i4>
      </vt:variant>
      <vt:variant>
        <vt:i4>5</vt:i4>
      </vt:variant>
      <vt:variant>
        <vt:lpwstr/>
      </vt:variant>
      <vt:variant>
        <vt:lpwstr>_Toc51860188</vt:lpwstr>
      </vt:variant>
      <vt:variant>
        <vt:i4>1441845</vt:i4>
      </vt:variant>
      <vt:variant>
        <vt:i4>176</vt:i4>
      </vt:variant>
      <vt:variant>
        <vt:i4>0</vt:i4>
      </vt:variant>
      <vt:variant>
        <vt:i4>5</vt:i4>
      </vt:variant>
      <vt:variant>
        <vt:lpwstr/>
      </vt:variant>
      <vt:variant>
        <vt:lpwstr>_Toc51860187</vt:lpwstr>
      </vt:variant>
      <vt:variant>
        <vt:i4>1507381</vt:i4>
      </vt:variant>
      <vt:variant>
        <vt:i4>170</vt:i4>
      </vt:variant>
      <vt:variant>
        <vt:i4>0</vt:i4>
      </vt:variant>
      <vt:variant>
        <vt:i4>5</vt:i4>
      </vt:variant>
      <vt:variant>
        <vt:lpwstr/>
      </vt:variant>
      <vt:variant>
        <vt:lpwstr>_Toc51860186</vt:lpwstr>
      </vt:variant>
      <vt:variant>
        <vt:i4>1310773</vt:i4>
      </vt:variant>
      <vt:variant>
        <vt:i4>164</vt:i4>
      </vt:variant>
      <vt:variant>
        <vt:i4>0</vt:i4>
      </vt:variant>
      <vt:variant>
        <vt:i4>5</vt:i4>
      </vt:variant>
      <vt:variant>
        <vt:lpwstr/>
      </vt:variant>
      <vt:variant>
        <vt:lpwstr>_Toc51860185</vt:lpwstr>
      </vt:variant>
      <vt:variant>
        <vt:i4>1376309</vt:i4>
      </vt:variant>
      <vt:variant>
        <vt:i4>158</vt:i4>
      </vt:variant>
      <vt:variant>
        <vt:i4>0</vt:i4>
      </vt:variant>
      <vt:variant>
        <vt:i4>5</vt:i4>
      </vt:variant>
      <vt:variant>
        <vt:lpwstr/>
      </vt:variant>
      <vt:variant>
        <vt:lpwstr>_Toc51860184</vt:lpwstr>
      </vt:variant>
      <vt:variant>
        <vt:i4>1179701</vt:i4>
      </vt:variant>
      <vt:variant>
        <vt:i4>152</vt:i4>
      </vt:variant>
      <vt:variant>
        <vt:i4>0</vt:i4>
      </vt:variant>
      <vt:variant>
        <vt:i4>5</vt:i4>
      </vt:variant>
      <vt:variant>
        <vt:lpwstr/>
      </vt:variant>
      <vt:variant>
        <vt:lpwstr>_Toc51860183</vt:lpwstr>
      </vt:variant>
      <vt:variant>
        <vt:i4>1245237</vt:i4>
      </vt:variant>
      <vt:variant>
        <vt:i4>146</vt:i4>
      </vt:variant>
      <vt:variant>
        <vt:i4>0</vt:i4>
      </vt:variant>
      <vt:variant>
        <vt:i4>5</vt:i4>
      </vt:variant>
      <vt:variant>
        <vt:lpwstr/>
      </vt:variant>
      <vt:variant>
        <vt:lpwstr>_Toc51860182</vt:lpwstr>
      </vt:variant>
      <vt:variant>
        <vt:i4>1048629</vt:i4>
      </vt:variant>
      <vt:variant>
        <vt:i4>140</vt:i4>
      </vt:variant>
      <vt:variant>
        <vt:i4>0</vt:i4>
      </vt:variant>
      <vt:variant>
        <vt:i4>5</vt:i4>
      </vt:variant>
      <vt:variant>
        <vt:lpwstr/>
      </vt:variant>
      <vt:variant>
        <vt:lpwstr>_Toc51860181</vt:lpwstr>
      </vt:variant>
      <vt:variant>
        <vt:i4>1114165</vt:i4>
      </vt:variant>
      <vt:variant>
        <vt:i4>134</vt:i4>
      </vt:variant>
      <vt:variant>
        <vt:i4>0</vt:i4>
      </vt:variant>
      <vt:variant>
        <vt:i4>5</vt:i4>
      </vt:variant>
      <vt:variant>
        <vt:lpwstr/>
      </vt:variant>
      <vt:variant>
        <vt:lpwstr>_Toc51860180</vt:lpwstr>
      </vt:variant>
      <vt:variant>
        <vt:i4>1572922</vt:i4>
      </vt:variant>
      <vt:variant>
        <vt:i4>128</vt:i4>
      </vt:variant>
      <vt:variant>
        <vt:i4>0</vt:i4>
      </vt:variant>
      <vt:variant>
        <vt:i4>5</vt:i4>
      </vt:variant>
      <vt:variant>
        <vt:lpwstr/>
      </vt:variant>
      <vt:variant>
        <vt:lpwstr>_Toc51860179</vt:lpwstr>
      </vt:variant>
      <vt:variant>
        <vt:i4>1638458</vt:i4>
      </vt:variant>
      <vt:variant>
        <vt:i4>122</vt:i4>
      </vt:variant>
      <vt:variant>
        <vt:i4>0</vt:i4>
      </vt:variant>
      <vt:variant>
        <vt:i4>5</vt:i4>
      </vt:variant>
      <vt:variant>
        <vt:lpwstr/>
      </vt:variant>
      <vt:variant>
        <vt:lpwstr>_Toc51860178</vt:lpwstr>
      </vt:variant>
      <vt:variant>
        <vt:i4>1441850</vt:i4>
      </vt:variant>
      <vt:variant>
        <vt:i4>116</vt:i4>
      </vt:variant>
      <vt:variant>
        <vt:i4>0</vt:i4>
      </vt:variant>
      <vt:variant>
        <vt:i4>5</vt:i4>
      </vt:variant>
      <vt:variant>
        <vt:lpwstr/>
      </vt:variant>
      <vt:variant>
        <vt:lpwstr>_Toc51860177</vt:lpwstr>
      </vt:variant>
      <vt:variant>
        <vt:i4>1507386</vt:i4>
      </vt:variant>
      <vt:variant>
        <vt:i4>110</vt:i4>
      </vt:variant>
      <vt:variant>
        <vt:i4>0</vt:i4>
      </vt:variant>
      <vt:variant>
        <vt:i4>5</vt:i4>
      </vt:variant>
      <vt:variant>
        <vt:lpwstr/>
      </vt:variant>
      <vt:variant>
        <vt:lpwstr>_Toc51860176</vt:lpwstr>
      </vt:variant>
      <vt:variant>
        <vt:i4>1310778</vt:i4>
      </vt:variant>
      <vt:variant>
        <vt:i4>104</vt:i4>
      </vt:variant>
      <vt:variant>
        <vt:i4>0</vt:i4>
      </vt:variant>
      <vt:variant>
        <vt:i4>5</vt:i4>
      </vt:variant>
      <vt:variant>
        <vt:lpwstr/>
      </vt:variant>
      <vt:variant>
        <vt:lpwstr>_Toc51860175</vt:lpwstr>
      </vt:variant>
      <vt:variant>
        <vt:i4>1376314</vt:i4>
      </vt:variant>
      <vt:variant>
        <vt:i4>98</vt:i4>
      </vt:variant>
      <vt:variant>
        <vt:i4>0</vt:i4>
      </vt:variant>
      <vt:variant>
        <vt:i4>5</vt:i4>
      </vt:variant>
      <vt:variant>
        <vt:lpwstr/>
      </vt:variant>
      <vt:variant>
        <vt:lpwstr>_Toc51860174</vt:lpwstr>
      </vt:variant>
      <vt:variant>
        <vt:i4>1179706</vt:i4>
      </vt:variant>
      <vt:variant>
        <vt:i4>92</vt:i4>
      </vt:variant>
      <vt:variant>
        <vt:i4>0</vt:i4>
      </vt:variant>
      <vt:variant>
        <vt:i4>5</vt:i4>
      </vt:variant>
      <vt:variant>
        <vt:lpwstr/>
      </vt:variant>
      <vt:variant>
        <vt:lpwstr>_Toc51860173</vt:lpwstr>
      </vt:variant>
      <vt:variant>
        <vt:i4>1245242</vt:i4>
      </vt:variant>
      <vt:variant>
        <vt:i4>86</vt:i4>
      </vt:variant>
      <vt:variant>
        <vt:i4>0</vt:i4>
      </vt:variant>
      <vt:variant>
        <vt:i4>5</vt:i4>
      </vt:variant>
      <vt:variant>
        <vt:lpwstr/>
      </vt:variant>
      <vt:variant>
        <vt:lpwstr>_Toc51860172</vt:lpwstr>
      </vt:variant>
      <vt:variant>
        <vt:i4>1048634</vt:i4>
      </vt:variant>
      <vt:variant>
        <vt:i4>80</vt:i4>
      </vt:variant>
      <vt:variant>
        <vt:i4>0</vt:i4>
      </vt:variant>
      <vt:variant>
        <vt:i4>5</vt:i4>
      </vt:variant>
      <vt:variant>
        <vt:lpwstr/>
      </vt:variant>
      <vt:variant>
        <vt:lpwstr>_Toc51860171</vt:lpwstr>
      </vt:variant>
      <vt:variant>
        <vt:i4>1114170</vt:i4>
      </vt:variant>
      <vt:variant>
        <vt:i4>74</vt:i4>
      </vt:variant>
      <vt:variant>
        <vt:i4>0</vt:i4>
      </vt:variant>
      <vt:variant>
        <vt:i4>5</vt:i4>
      </vt:variant>
      <vt:variant>
        <vt:lpwstr/>
      </vt:variant>
      <vt:variant>
        <vt:lpwstr>_Toc51860170</vt:lpwstr>
      </vt:variant>
      <vt:variant>
        <vt:i4>1572923</vt:i4>
      </vt:variant>
      <vt:variant>
        <vt:i4>68</vt:i4>
      </vt:variant>
      <vt:variant>
        <vt:i4>0</vt:i4>
      </vt:variant>
      <vt:variant>
        <vt:i4>5</vt:i4>
      </vt:variant>
      <vt:variant>
        <vt:lpwstr/>
      </vt:variant>
      <vt:variant>
        <vt:lpwstr>_Toc51860169</vt:lpwstr>
      </vt:variant>
      <vt:variant>
        <vt:i4>1638459</vt:i4>
      </vt:variant>
      <vt:variant>
        <vt:i4>62</vt:i4>
      </vt:variant>
      <vt:variant>
        <vt:i4>0</vt:i4>
      </vt:variant>
      <vt:variant>
        <vt:i4>5</vt:i4>
      </vt:variant>
      <vt:variant>
        <vt:lpwstr/>
      </vt:variant>
      <vt:variant>
        <vt:lpwstr>_Toc51860168</vt:lpwstr>
      </vt:variant>
      <vt:variant>
        <vt:i4>1441851</vt:i4>
      </vt:variant>
      <vt:variant>
        <vt:i4>56</vt:i4>
      </vt:variant>
      <vt:variant>
        <vt:i4>0</vt:i4>
      </vt:variant>
      <vt:variant>
        <vt:i4>5</vt:i4>
      </vt:variant>
      <vt:variant>
        <vt:lpwstr/>
      </vt:variant>
      <vt:variant>
        <vt:lpwstr>_Toc51860167</vt:lpwstr>
      </vt:variant>
      <vt:variant>
        <vt:i4>1507387</vt:i4>
      </vt:variant>
      <vt:variant>
        <vt:i4>50</vt:i4>
      </vt:variant>
      <vt:variant>
        <vt:i4>0</vt:i4>
      </vt:variant>
      <vt:variant>
        <vt:i4>5</vt:i4>
      </vt:variant>
      <vt:variant>
        <vt:lpwstr/>
      </vt:variant>
      <vt:variant>
        <vt:lpwstr>_Toc51860166</vt:lpwstr>
      </vt:variant>
      <vt:variant>
        <vt:i4>1310779</vt:i4>
      </vt:variant>
      <vt:variant>
        <vt:i4>44</vt:i4>
      </vt:variant>
      <vt:variant>
        <vt:i4>0</vt:i4>
      </vt:variant>
      <vt:variant>
        <vt:i4>5</vt:i4>
      </vt:variant>
      <vt:variant>
        <vt:lpwstr/>
      </vt:variant>
      <vt:variant>
        <vt:lpwstr>_Toc51860165</vt:lpwstr>
      </vt:variant>
      <vt:variant>
        <vt:i4>1376315</vt:i4>
      </vt:variant>
      <vt:variant>
        <vt:i4>38</vt:i4>
      </vt:variant>
      <vt:variant>
        <vt:i4>0</vt:i4>
      </vt:variant>
      <vt:variant>
        <vt:i4>5</vt:i4>
      </vt:variant>
      <vt:variant>
        <vt:lpwstr/>
      </vt:variant>
      <vt:variant>
        <vt:lpwstr>_Toc51860164</vt:lpwstr>
      </vt:variant>
      <vt:variant>
        <vt:i4>1179707</vt:i4>
      </vt:variant>
      <vt:variant>
        <vt:i4>32</vt:i4>
      </vt:variant>
      <vt:variant>
        <vt:i4>0</vt:i4>
      </vt:variant>
      <vt:variant>
        <vt:i4>5</vt:i4>
      </vt:variant>
      <vt:variant>
        <vt:lpwstr/>
      </vt:variant>
      <vt:variant>
        <vt:lpwstr>_Toc51860163</vt:lpwstr>
      </vt:variant>
      <vt:variant>
        <vt:i4>1245243</vt:i4>
      </vt:variant>
      <vt:variant>
        <vt:i4>26</vt:i4>
      </vt:variant>
      <vt:variant>
        <vt:i4>0</vt:i4>
      </vt:variant>
      <vt:variant>
        <vt:i4>5</vt:i4>
      </vt:variant>
      <vt:variant>
        <vt:lpwstr/>
      </vt:variant>
      <vt:variant>
        <vt:lpwstr>_Toc51860162</vt:lpwstr>
      </vt:variant>
      <vt:variant>
        <vt:i4>1048635</vt:i4>
      </vt:variant>
      <vt:variant>
        <vt:i4>20</vt:i4>
      </vt:variant>
      <vt:variant>
        <vt:i4>0</vt:i4>
      </vt:variant>
      <vt:variant>
        <vt:i4>5</vt:i4>
      </vt:variant>
      <vt:variant>
        <vt:lpwstr/>
      </vt:variant>
      <vt:variant>
        <vt:lpwstr>_Toc51860161</vt:lpwstr>
      </vt:variant>
      <vt:variant>
        <vt:i4>1114171</vt:i4>
      </vt:variant>
      <vt:variant>
        <vt:i4>14</vt:i4>
      </vt:variant>
      <vt:variant>
        <vt:i4>0</vt:i4>
      </vt:variant>
      <vt:variant>
        <vt:i4>5</vt:i4>
      </vt:variant>
      <vt:variant>
        <vt:lpwstr/>
      </vt:variant>
      <vt:variant>
        <vt:lpwstr>_Toc51860160</vt:lpwstr>
      </vt:variant>
      <vt:variant>
        <vt:i4>1572920</vt:i4>
      </vt:variant>
      <vt:variant>
        <vt:i4>8</vt:i4>
      </vt:variant>
      <vt:variant>
        <vt:i4>0</vt:i4>
      </vt:variant>
      <vt:variant>
        <vt:i4>5</vt:i4>
      </vt:variant>
      <vt:variant>
        <vt:lpwstr/>
      </vt:variant>
      <vt:variant>
        <vt:lpwstr>_Toc51860159</vt:lpwstr>
      </vt:variant>
      <vt:variant>
        <vt:i4>1638456</vt:i4>
      </vt:variant>
      <vt:variant>
        <vt:i4>2</vt:i4>
      </vt:variant>
      <vt:variant>
        <vt:i4>0</vt:i4>
      </vt:variant>
      <vt:variant>
        <vt:i4>5</vt:i4>
      </vt:variant>
      <vt:variant>
        <vt:lpwstr/>
      </vt:variant>
      <vt:variant>
        <vt:lpwstr>_Toc51860158</vt:lpwstr>
      </vt:variant>
      <vt:variant>
        <vt:i4>3932165</vt:i4>
      </vt:variant>
      <vt:variant>
        <vt:i4>138</vt:i4>
      </vt:variant>
      <vt:variant>
        <vt:i4>0</vt:i4>
      </vt:variant>
      <vt:variant>
        <vt:i4>5</vt:i4>
      </vt:variant>
      <vt:variant>
        <vt:lpwstr>https://read.oecd-ilibrary.org/economics/oecd-guidelines-on-measuring-subjective-well-being_9789264191655-en%23page1</vt:lpwstr>
      </vt:variant>
      <vt:variant>
        <vt:lpwstr/>
      </vt:variant>
      <vt:variant>
        <vt:i4>4128775</vt:i4>
      </vt:variant>
      <vt:variant>
        <vt:i4>135</vt:i4>
      </vt:variant>
      <vt:variant>
        <vt:i4>0</vt:i4>
      </vt:variant>
      <vt:variant>
        <vt:i4>5</vt:i4>
      </vt:variant>
      <vt:variant>
        <vt:lpwstr>http://www.unaids.org/sites/default/files/media_asset/GARPR_2014_guidelines_en_0.pdf</vt:lpwstr>
      </vt:variant>
      <vt:variant>
        <vt:lpwstr/>
      </vt:variant>
      <vt:variant>
        <vt:i4>983056</vt:i4>
      </vt:variant>
      <vt:variant>
        <vt:i4>132</vt:i4>
      </vt:variant>
      <vt:variant>
        <vt:i4>0</vt:i4>
      </vt:variant>
      <vt:variant>
        <vt:i4>5</vt:i4>
      </vt:variant>
      <vt:variant>
        <vt:lpwstr>http://www.zso.gov.rs/domaci-propisi-zdravstveno.htm</vt:lpwstr>
      </vt:variant>
      <vt:variant>
        <vt:lpwstr/>
      </vt:variant>
      <vt:variant>
        <vt:i4>3866666</vt:i4>
      </vt:variant>
      <vt:variant>
        <vt:i4>129</vt:i4>
      </vt:variant>
      <vt:variant>
        <vt:i4>0</vt:i4>
      </vt:variant>
      <vt:variant>
        <vt:i4>5</vt:i4>
      </vt:variant>
      <vt:variant>
        <vt:lpwstr>http://mics.unicef.org/files?job=W1siZiIsIjIwMTgvMDcvMTkvMjAvMzcvMzAvNzQ0L1ZpZXRuYW1fUmVwb3J0X1BpbG90X1Rlc3RpbmdfU1BfTW9kdWxlX0RlY2VtYmVyXzIwMTZfRklOQUwuUERGIl1d&amp;sha=3df47c3a17992c8f</vt:lpwstr>
      </vt:variant>
      <vt:variant>
        <vt:lpwstr/>
      </vt:variant>
      <vt:variant>
        <vt:i4>2883710</vt:i4>
      </vt:variant>
      <vt:variant>
        <vt:i4>126</vt:i4>
      </vt:variant>
      <vt:variant>
        <vt:i4>0</vt:i4>
      </vt:variant>
      <vt:variant>
        <vt:i4>5</vt:i4>
      </vt:variant>
      <vt:variant>
        <vt:lpwstr>https://www.un.org/development/desa/disabilities/convention-on-the-rights-of-persons-with-disabilities/convention-on-the-rights-of-persons-with-disabilities-2.html</vt:lpwstr>
      </vt:variant>
      <vt:variant>
        <vt:lpwstr/>
      </vt:variant>
      <vt:variant>
        <vt:i4>3473513</vt:i4>
      </vt:variant>
      <vt:variant>
        <vt:i4>123</vt:i4>
      </vt:variant>
      <vt:variant>
        <vt:i4>0</vt:i4>
      </vt:variant>
      <vt:variant>
        <vt:i4>5</vt:i4>
      </vt:variant>
      <vt:variant>
        <vt:lpwstr>http://apps.who.int/iris/bitstream/handle/10665/258617/9789241512893-eng.pdf?sequence=1</vt:lpwstr>
      </vt:variant>
      <vt:variant>
        <vt:lpwstr/>
      </vt:variant>
      <vt:variant>
        <vt:i4>6619253</vt:i4>
      </vt:variant>
      <vt:variant>
        <vt:i4>120</vt:i4>
      </vt:variant>
      <vt:variant>
        <vt:i4>0</vt:i4>
      </vt:variant>
      <vt:variant>
        <vt:i4>5</vt:i4>
      </vt:variant>
      <vt:variant>
        <vt:lpwstr>http://apps.who.int/iris/bitstream/handle/10665/182735/WHO_FWC_WSH_15.12_eng.pdf;jsessionid=7F7C38216E04E69E7908AB6E8B63318F?sequence=1</vt:lpwstr>
      </vt:variant>
      <vt:variant>
        <vt:lpwstr/>
      </vt:variant>
      <vt:variant>
        <vt:i4>1048584</vt:i4>
      </vt:variant>
      <vt:variant>
        <vt:i4>117</vt:i4>
      </vt:variant>
      <vt:variant>
        <vt:i4>0</vt:i4>
      </vt:variant>
      <vt:variant>
        <vt:i4>5</vt:i4>
      </vt:variant>
      <vt:variant>
        <vt:lpwstr>https://washdata.org/</vt:lpwstr>
      </vt:variant>
      <vt:variant>
        <vt:lpwstr/>
      </vt:variant>
      <vt:variant>
        <vt:i4>6422566</vt:i4>
      </vt:variant>
      <vt:variant>
        <vt:i4>114</vt:i4>
      </vt:variant>
      <vt:variant>
        <vt:i4>0</vt:i4>
      </vt:variant>
      <vt:variant>
        <vt:i4>5</vt:i4>
      </vt:variant>
      <vt:variant>
        <vt:lpwstr>https://data.unicef.org/wp-content/uploads/2017/03/safely-managed-drinking-water-JMP-2017-1.pdf</vt:lpwstr>
      </vt:variant>
      <vt:variant>
        <vt:lpwstr/>
      </vt:variant>
      <vt:variant>
        <vt:i4>3211353</vt:i4>
      </vt:variant>
      <vt:variant>
        <vt:i4>111</vt:i4>
      </vt:variant>
      <vt:variant>
        <vt:i4>0</vt:i4>
      </vt:variant>
      <vt:variant>
        <vt:i4>5</vt:i4>
      </vt:variant>
      <vt:variant>
        <vt:lpwstr>https://www.unodc.org/documents/data-and-analysis/Crime-statistics/Manual_on_Victimization_surveys_2009_web.pdf</vt:lpwstr>
      </vt:variant>
      <vt:variant>
        <vt:lpwstr/>
      </vt:variant>
      <vt:variant>
        <vt:i4>1572892</vt:i4>
      </vt:variant>
      <vt:variant>
        <vt:i4>108</vt:i4>
      </vt:variant>
      <vt:variant>
        <vt:i4>0</vt:i4>
      </vt:variant>
      <vt:variant>
        <vt:i4>5</vt:i4>
      </vt:variant>
      <vt:variant>
        <vt:lpwstr>http://www.popcouncil.org/uploads/pdfs/wp/pgy/019.pdf</vt:lpwstr>
      </vt:variant>
      <vt:variant>
        <vt:lpwstr/>
      </vt:variant>
      <vt:variant>
        <vt:i4>6029363</vt:i4>
      </vt:variant>
      <vt:variant>
        <vt:i4>105</vt:i4>
      </vt:variant>
      <vt:variant>
        <vt:i4>0</vt:i4>
      </vt:variant>
      <vt:variant>
        <vt:i4>5</vt:i4>
      </vt:variant>
      <vt:variant>
        <vt:lpwstr>https://data.unicef.org/wp-content/uploads/2015/12/Child_Labour_Paper_No.1_FINAL_162.pdf</vt:lpwstr>
      </vt:variant>
      <vt:variant>
        <vt:lpwstr/>
      </vt:variant>
      <vt:variant>
        <vt:i4>5111822</vt:i4>
      </vt:variant>
      <vt:variant>
        <vt:i4>102</vt:i4>
      </vt:variant>
      <vt:variant>
        <vt:i4>0</vt:i4>
      </vt:variant>
      <vt:variant>
        <vt:i4>5</vt:i4>
      </vt:variant>
      <vt:variant>
        <vt:lpwstr>http://psycnet.apa.org/record/1987-29817-001</vt:lpwstr>
      </vt:variant>
      <vt:variant>
        <vt:lpwstr/>
      </vt:variant>
      <vt:variant>
        <vt:i4>1507396</vt:i4>
      </vt:variant>
      <vt:variant>
        <vt:i4>99</vt:i4>
      </vt:variant>
      <vt:variant>
        <vt:i4>0</vt:i4>
      </vt:variant>
      <vt:variant>
        <vt:i4>5</vt:i4>
      </vt:variant>
      <vt:variant>
        <vt:lpwstr>https://www.unicef.org/publications/files/Birth_Registration_11_Dec_13.pdf</vt:lpwstr>
      </vt:variant>
      <vt:variant>
        <vt:lpwstr/>
      </vt:variant>
      <vt:variant>
        <vt:i4>458783</vt:i4>
      </vt:variant>
      <vt:variant>
        <vt:i4>96</vt:i4>
      </vt:variant>
      <vt:variant>
        <vt:i4>0</vt:i4>
      </vt:variant>
      <vt:variant>
        <vt:i4>5</vt:i4>
      </vt:variant>
      <vt:variant>
        <vt:lpwstr>http://mics.unicef.org/files?job=W1siZiIsIjIwMTcvMDYvMTUvMTYvMjcvMDAvNzMxL01JQ1NfTWV0aG9kb2xvZ2ljYWxfUGFwZXJfNS5wZGYiXV0&amp;sha=39f5c31dbb91df26</vt:lpwstr>
      </vt:variant>
      <vt:variant>
        <vt:lpwstr/>
      </vt:variant>
      <vt:variant>
        <vt:i4>2949231</vt:i4>
      </vt:variant>
      <vt:variant>
        <vt:i4>93</vt:i4>
      </vt:variant>
      <vt:variant>
        <vt:i4>0</vt:i4>
      </vt:variant>
      <vt:variant>
        <vt:i4>5</vt:i4>
      </vt:variant>
      <vt:variant>
        <vt:lpwstr>https://www.nationalnumeracy.org.uk/sites/default/files/the_impact_of_parental_involvement.pdf</vt:lpwstr>
      </vt:variant>
      <vt:variant>
        <vt:lpwstr/>
      </vt:variant>
      <vt:variant>
        <vt:i4>7733325</vt:i4>
      </vt:variant>
      <vt:variant>
        <vt:i4>90</vt:i4>
      </vt:variant>
      <vt:variant>
        <vt:i4>0</vt:i4>
      </vt:variant>
      <vt:variant>
        <vt:i4>5</vt:i4>
      </vt:variant>
      <vt:variant>
        <vt:lpwstr>http://apps.who.int/iris/bitstream/handle/10665/204717/9789241565233_eng.pdf;jsessionid=63CEC48ED96098D4256007A76FEB8907?sequence=1</vt:lpwstr>
      </vt:variant>
      <vt:variant>
        <vt:lpwstr/>
      </vt:variant>
      <vt:variant>
        <vt:i4>1376309</vt:i4>
      </vt:variant>
      <vt:variant>
        <vt:i4>87</vt:i4>
      </vt:variant>
      <vt:variant>
        <vt:i4>0</vt:i4>
      </vt:variant>
      <vt:variant>
        <vt:i4>5</vt:i4>
      </vt:variant>
      <vt:variant>
        <vt:lpwstr>http://www.who.int/immunization/policy/immunization_tables/en/</vt:lpwstr>
      </vt:variant>
      <vt:variant>
        <vt:lpwstr/>
      </vt:variant>
      <vt:variant>
        <vt:i4>3866751</vt:i4>
      </vt:variant>
      <vt:variant>
        <vt:i4>84</vt:i4>
      </vt:variant>
      <vt:variant>
        <vt:i4>0</vt:i4>
      </vt:variant>
      <vt:variant>
        <vt:i4>5</vt:i4>
      </vt:variant>
      <vt:variant>
        <vt:lpwstr>http://www.who.int/immunization/highlights/2015/en/</vt:lpwstr>
      </vt:variant>
      <vt:variant>
        <vt:lpwstr/>
      </vt:variant>
      <vt:variant>
        <vt:i4>1048576</vt:i4>
      </vt:variant>
      <vt:variant>
        <vt:i4>81</vt:i4>
      </vt:variant>
      <vt:variant>
        <vt:i4>0</vt:i4>
      </vt:variant>
      <vt:variant>
        <vt:i4>5</vt:i4>
      </vt:variant>
      <vt:variant>
        <vt:lpwstr>http://www.unaids.org/sites/default/files/media_asset/2017-Global-AIDS-Monitoring_en.pdf</vt:lpwstr>
      </vt:variant>
      <vt:variant>
        <vt:lpwstr/>
      </vt:variant>
      <vt:variant>
        <vt:i4>4063253</vt:i4>
      </vt:variant>
      <vt:variant>
        <vt:i4>78</vt:i4>
      </vt:variant>
      <vt:variant>
        <vt:i4>0</vt:i4>
      </vt:variant>
      <vt:variant>
        <vt:i4>5</vt:i4>
      </vt:variant>
      <vt:variant>
        <vt:lpwstr>http://www.unaids.org/sites/default/files/media_asset/20151019_JC2766_Fast-tracking_combination_prevention.pdf</vt:lpwstr>
      </vt:variant>
      <vt:variant>
        <vt:lpwstr/>
      </vt:variant>
      <vt:variant>
        <vt:i4>3276826</vt:i4>
      </vt:variant>
      <vt:variant>
        <vt:i4>75</vt:i4>
      </vt:variant>
      <vt:variant>
        <vt:i4>0</vt:i4>
      </vt:variant>
      <vt:variant>
        <vt:i4>5</vt:i4>
      </vt:variant>
      <vt:variant>
        <vt:lpwstr>http://apps.who.int/iris/bitstream/handle/10665/194254/9789241565141_eng.pdf?sequence=1</vt:lpwstr>
      </vt:variant>
      <vt:variant>
        <vt:lpwstr/>
      </vt:variant>
      <vt:variant>
        <vt:i4>655481</vt:i4>
      </vt:variant>
      <vt:variant>
        <vt:i4>72</vt:i4>
      </vt:variant>
      <vt:variant>
        <vt:i4>0</vt:i4>
      </vt:variant>
      <vt:variant>
        <vt:i4>5</vt:i4>
      </vt:variant>
      <vt:variant>
        <vt:lpwstr>https://www.unicef.org/publications/files/Child_Mortality_Report_2017.pdf</vt:lpwstr>
      </vt:variant>
      <vt:variant>
        <vt:lpwstr/>
      </vt:variant>
      <vt:variant>
        <vt:i4>917611</vt:i4>
      </vt:variant>
      <vt:variant>
        <vt:i4>69</vt:i4>
      </vt:variant>
      <vt:variant>
        <vt:i4>0</vt:i4>
      </vt:variant>
      <vt:variant>
        <vt:i4>5</vt:i4>
      </vt:variant>
      <vt:variant>
        <vt:lpwstr>https://www.unicef.org/publications/files/low_birthweight_from_EY.pdf</vt:lpwstr>
      </vt:variant>
      <vt:variant>
        <vt:lpwstr/>
      </vt:variant>
      <vt:variant>
        <vt:i4>4063274</vt:i4>
      </vt:variant>
      <vt:variant>
        <vt:i4>66</vt:i4>
      </vt:variant>
      <vt:variant>
        <vt:i4>0</vt:i4>
      </vt:variant>
      <vt:variant>
        <vt:i4>5</vt:i4>
      </vt:variant>
      <vt:variant>
        <vt:lpwstr>http://apps.who.int/iris/bitstream/handle/10665/272817/9789241514200-eng.pdf?sequence=1&amp;isAllowed=y</vt:lpwstr>
      </vt:variant>
      <vt:variant>
        <vt:lpwstr/>
      </vt:variant>
      <vt:variant>
        <vt:i4>3145834</vt:i4>
      </vt:variant>
      <vt:variant>
        <vt:i4>63</vt:i4>
      </vt:variant>
      <vt:variant>
        <vt:i4>0</vt:i4>
      </vt:variant>
      <vt:variant>
        <vt:i4>5</vt:i4>
      </vt:variant>
      <vt:variant>
        <vt:lpwstr>http://apps.who.int/iris/bitstream/handle/10665/250796/9789241549912-eng.pdf?sequence=1</vt:lpwstr>
      </vt:variant>
      <vt:variant>
        <vt:lpwstr/>
      </vt:variant>
      <vt:variant>
        <vt:i4>7864442</vt:i4>
      </vt:variant>
      <vt:variant>
        <vt:i4>60</vt:i4>
      </vt:variant>
      <vt:variant>
        <vt:i4>0</vt:i4>
      </vt:variant>
      <vt:variant>
        <vt:i4>5</vt:i4>
      </vt:variant>
      <vt:variant>
        <vt:lpwstr>https://doi.org/10.9745/GHSP-D-15-00374</vt:lpwstr>
      </vt:variant>
      <vt:variant>
        <vt:lpwstr/>
      </vt:variant>
      <vt:variant>
        <vt:i4>8192095</vt:i4>
      </vt:variant>
      <vt:variant>
        <vt:i4>57</vt:i4>
      </vt:variant>
      <vt:variant>
        <vt:i4>0</vt:i4>
      </vt:variant>
      <vt:variant>
        <vt:i4>5</vt:i4>
      </vt:variant>
      <vt:variant>
        <vt:lpwstr>https://www.unfpa.org/sites/default/files/resource-pdf/family_planning06.pdf</vt:lpwstr>
      </vt:variant>
      <vt:variant>
        <vt:lpwstr/>
      </vt:variant>
      <vt:variant>
        <vt:i4>4849667</vt:i4>
      </vt:variant>
      <vt:variant>
        <vt:i4>54</vt:i4>
      </vt:variant>
      <vt:variant>
        <vt:i4>0</vt:i4>
      </vt:variant>
      <vt:variant>
        <vt:i4>5</vt:i4>
      </vt:variant>
      <vt:variant>
        <vt:lpwstr>https://dhsprogram.com/pubs/pdf/WP60/WP60.pdf</vt:lpwstr>
      </vt:variant>
      <vt:variant>
        <vt:lpwstr/>
      </vt:variant>
      <vt:variant>
        <vt:i4>6553645</vt:i4>
      </vt:variant>
      <vt:variant>
        <vt:i4>51</vt:i4>
      </vt:variant>
      <vt:variant>
        <vt:i4>0</vt:i4>
      </vt:variant>
      <vt:variant>
        <vt:i4>5</vt:i4>
      </vt:variant>
      <vt:variant>
        <vt:lpwstr>https://dhsprogram.com/pubs/pdf/CR6/CR6.pdf</vt:lpwstr>
      </vt:variant>
      <vt:variant>
        <vt:lpwstr/>
      </vt:variant>
      <vt:variant>
        <vt:i4>2555956</vt:i4>
      </vt:variant>
      <vt:variant>
        <vt:i4>45</vt:i4>
      </vt:variant>
      <vt:variant>
        <vt:i4>0</vt:i4>
      </vt:variant>
      <vt:variant>
        <vt:i4>5</vt:i4>
      </vt:variant>
      <vt:variant>
        <vt:lpwstr>http://unstats.un.org/sdgs/indicators/Official List of Proposed SDG Indicators.pdf</vt:lpwstr>
      </vt:variant>
      <vt:variant>
        <vt:lpwstr/>
      </vt:variant>
      <vt:variant>
        <vt:i4>524304</vt:i4>
      </vt:variant>
      <vt:variant>
        <vt:i4>42</vt:i4>
      </vt:variant>
      <vt:variant>
        <vt:i4>0</vt:i4>
      </vt:variant>
      <vt:variant>
        <vt:i4>5</vt:i4>
      </vt:variant>
      <vt:variant>
        <vt:lpwstr>http://unstats.un.org/sdgs/metadata/</vt:lpwstr>
      </vt:variant>
      <vt:variant>
        <vt:lpwstr/>
      </vt:variant>
      <vt:variant>
        <vt:i4>2293814</vt:i4>
      </vt:variant>
      <vt:variant>
        <vt:i4>39</vt:i4>
      </vt:variant>
      <vt:variant>
        <vt:i4>0</vt:i4>
      </vt:variant>
      <vt:variant>
        <vt:i4>5</vt:i4>
      </vt:variant>
      <vt:variant>
        <vt:lpwstr>http://unstats.un.org/sdgs/indicators/indicators-list/</vt:lpwstr>
      </vt:variant>
      <vt:variant>
        <vt:lpwstr/>
      </vt:variant>
      <vt:variant>
        <vt:i4>8323171</vt:i4>
      </vt:variant>
      <vt:variant>
        <vt:i4>36</vt:i4>
      </vt:variant>
      <vt:variant>
        <vt:i4>0</vt:i4>
      </vt:variant>
      <vt:variant>
        <vt:i4>5</vt:i4>
      </vt:variant>
      <vt:variant>
        <vt:lpwstr>http://mics.unicef.org/surveys</vt:lpwstr>
      </vt:variant>
      <vt:variant>
        <vt:lpwstr/>
      </vt:variant>
      <vt:variant>
        <vt:i4>2228349</vt:i4>
      </vt:variant>
      <vt:variant>
        <vt:i4>33</vt:i4>
      </vt:variant>
      <vt:variant>
        <vt:i4>0</vt:i4>
      </vt:variant>
      <vt:variant>
        <vt:i4>5</vt:i4>
      </vt:variant>
      <vt:variant>
        <vt:lpwstr>http://mics.unicef.org/tools%23analysis</vt:lpwstr>
      </vt:variant>
      <vt:variant>
        <vt:lpwstr/>
      </vt:variant>
      <vt:variant>
        <vt:i4>6488171</vt:i4>
      </vt:variant>
      <vt:variant>
        <vt:i4>30</vt:i4>
      </vt:variant>
      <vt:variant>
        <vt:i4>0</vt:i4>
      </vt:variant>
      <vt:variant>
        <vt:i4>5</vt:i4>
      </vt:variant>
      <vt:variant>
        <vt:lpwstr>http://mics.unicef.org/tools%23data-processing</vt:lpwstr>
      </vt:variant>
      <vt:variant>
        <vt:lpwstr/>
      </vt:variant>
      <vt:variant>
        <vt:i4>6815869</vt:i4>
      </vt:variant>
      <vt:variant>
        <vt:i4>27</vt:i4>
      </vt:variant>
      <vt:variant>
        <vt:i4>0</vt:i4>
      </vt:variant>
      <vt:variant>
        <vt:i4>5</vt:i4>
      </vt:variant>
      <vt:variant>
        <vt:lpwstr>http://mics.unicef.org/tools%23data-collection</vt:lpwstr>
      </vt:variant>
      <vt:variant>
        <vt:lpwstr/>
      </vt:variant>
      <vt:variant>
        <vt:i4>1638406</vt:i4>
      </vt:variant>
      <vt:variant>
        <vt:i4>24</vt:i4>
      </vt:variant>
      <vt:variant>
        <vt:i4>0</vt:i4>
      </vt:variant>
      <vt:variant>
        <vt:i4>5</vt:i4>
      </vt:variant>
      <vt:variant>
        <vt:lpwstr>http://mics.unicef.org/tools%23survey-design</vt:lpwstr>
      </vt:variant>
      <vt:variant>
        <vt:lpwstr/>
      </vt:variant>
      <vt:variant>
        <vt:i4>6488171</vt:i4>
      </vt:variant>
      <vt:variant>
        <vt:i4>21</vt:i4>
      </vt:variant>
      <vt:variant>
        <vt:i4>0</vt:i4>
      </vt:variant>
      <vt:variant>
        <vt:i4>5</vt:i4>
      </vt:variant>
      <vt:variant>
        <vt:lpwstr>http://mics.unicef.org/tools%23data-processing</vt:lpwstr>
      </vt:variant>
      <vt:variant>
        <vt:lpwstr/>
      </vt:variant>
      <vt:variant>
        <vt:i4>1638406</vt:i4>
      </vt:variant>
      <vt:variant>
        <vt:i4>18</vt:i4>
      </vt:variant>
      <vt:variant>
        <vt:i4>0</vt:i4>
      </vt:variant>
      <vt:variant>
        <vt:i4>5</vt:i4>
      </vt:variant>
      <vt:variant>
        <vt:lpwstr>http://mics.unicef.org/tools%23survey-design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MICS6 Survey Findings Report</dc:title>
  <dc:subject>Sample Design</dc:subject>
  <dc:creator/>
  <cp:keywords>MICS6</cp:keywords>
  <dc:description/>
  <cp:lastModifiedBy/>
  <cp:revision>1</cp:revision>
  <cp:lastPrinted>2013-10-18T14:24:00Z</cp:lastPrinted>
  <dcterms:created xsi:type="dcterms:W3CDTF">2020-10-09T07:17:00Z</dcterms:created>
  <dcterms:modified xsi:type="dcterms:W3CDTF">2020-11-10T12:44:00Z</dcterms:modified>
</cp:coreProperties>
</file>